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6A" w:rsidRPr="0018010E" w:rsidRDefault="00B5546A" w:rsidP="00B5546A">
      <w:pPr>
        <w:pStyle w:val="berschrift1"/>
      </w:pPr>
      <w:r w:rsidRPr="0018010E">
        <w:t xml:space="preserve">Syllabus for lecture: Trade Policy </w:t>
      </w:r>
    </w:p>
    <w:p w:rsidR="00B5546A" w:rsidRPr="0018010E" w:rsidRDefault="00B5546A">
      <w:pPr>
        <w:rPr>
          <w:sz w:val="4"/>
          <w:szCs w:val="4"/>
        </w:rPr>
      </w:pPr>
    </w:p>
    <w:p w:rsidR="00A4487E" w:rsidRPr="00C30F36" w:rsidRDefault="00A07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term 20</w:t>
      </w:r>
      <w:r w:rsidR="004C2A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4F3807">
        <w:rPr>
          <w:rFonts w:ascii="Arial" w:hAnsi="Arial" w:cs="Arial"/>
          <w:sz w:val="20"/>
          <w:szCs w:val="20"/>
        </w:rPr>
        <w:t xml:space="preserve"> </w:t>
      </w:r>
      <w:r w:rsidR="007B194F">
        <w:rPr>
          <w:rFonts w:ascii="Arial" w:hAnsi="Arial" w:cs="Arial"/>
          <w:sz w:val="20"/>
          <w:szCs w:val="20"/>
        </w:rPr>
        <w:t>–</w:t>
      </w:r>
      <w:r w:rsidR="004F3807">
        <w:rPr>
          <w:rFonts w:ascii="Arial" w:hAnsi="Arial" w:cs="Arial"/>
          <w:sz w:val="20"/>
          <w:szCs w:val="20"/>
        </w:rPr>
        <w:t xml:space="preserve"> </w:t>
      </w:r>
      <w:r w:rsidR="007B194F">
        <w:rPr>
          <w:rFonts w:ascii="Arial" w:hAnsi="Arial" w:cs="Arial"/>
          <w:sz w:val="20"/>
          <w:szCs w:val="20"/>
        </w:rPr>
        <w:t xml:space="preserve">subject to </w:t>
      </w:r>
      <w:r>
        <w:rPr>
          <w:rFonts w:ascii="Arial" w:hAnsi="Arial" w:cs="Arial"/>
          <w:sz w:val="20"/>
          <w:szCs w:val="20"/>
        </w:rPr>
        <w:t xml:space="preserve">small </w:t>
      </w:r>
      <w:r w:rsidR="007B194F">
        <w:rPr>
          <w:rFonts w:ascii="Arial" w:hAnsi="Arial" w:cs="Arial"/>
          <w:sz w:val="20"/>
          <w:szCs w:val="20"/>
        </w:rPr>
        <w:t>changes</w:t>
      </w:r>
    </w:p>
    <w:p w:rsidR="00221038" w:rsidRPr="00C30F36" w:rsidRDefault="00221038">
      <w:pPr>
        <w:rPr>
          <w:rFonts w:ascii="Arial" w:hAnsi="Arial" w:cs="Arial"/>
          <w:sz w:val="20"/>
          <w:szCs w:val="20"/>
        </w:rPr>
      </w:pPr>
    </w:p>
    <w:p w:rsidR="00310C02" w:rsidRDefault="00DE2144" w:rsidP="00310C02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Lecture</w:t>
      </w:r>
      <w:r w:rsidR="00310C02">
        <w:rPr>
          <w:rFonts w:ascii="Arial" w:hAnsi="Arial" w:cs="Arial"/>
          <w:color w:val="A6A6A6" w:themeColor="background1" w:themeShade="A6"/>
          <w:sz w:val="20"/>
          <w:szCs w:val="20"/>
        </w:rPr>
        <w:t xml:space="preserve">: </w:t>
      </w:r>
      <w:r w:rsidR="00310C02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Prof. Dr. Philip Sauré </w:t>
      </w:r>
    </w:p>
    <w:p w:rsidR="00C4617D" w:rsidRDefault="00127253" w:rsidP="00127253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Time: </w:t>
      </w:r>
      <w:r w:rsidR="00B82706">
        <w:rPr>
          <w:rFonts w:ascii="Arial" w:hAnsi="Arial" w:cs="Arial"/>
          <w:color w:val="A6A6A6" w:themeColor="background1" w:themeShade="A6"/>
          <w:sz w:val="20"/>
          <w:szCs w:val="20"/>
        </w:rPr>
        <w:t>Monday, 2:15 – 3:45 pm</w:t>
      </w:r>
    </w:p>
    <w:p w:rsidR="00B82706" w:rsidRPr="006E3BC5" w:rsidRDefault="006E3BC5" w:rsidP="006E3BC5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Room: </w:t>
      </w:r>
      <w:r w:rsidR="00B82706" w:rsidRPr="00B82706">
        <w:rPr>
          <w:rFonts w:ascii="Arial" w:hAnsi="Arial" w:cs="Arial"/>
          <w:color w:val="A6A6A6" w:themeColor="background1" w:themeShade="A6"/>
          <w:sz w:val="20"/>
          <w:szCs w:val="20"/>
        </w:rPr>
        <w:tab/>
        <w:t>00 245 RW 3</w:t>
      </w:r>
    </w:p>
    <w:p w:rsidR="00310C02" w:rsidRPr="005E764D" w:rsidRDefault="00310C02" w:rsidP="00310C02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E764D">
        <w:rPr>
          <w:rFonts w:ascii="Arial" w:hAnsi="Arial" w:cs="Arial"/>
          <w:color w:val="A6A6A6" w:themeColor="background1" w:themeShade="A6"/>
          <w:sz w:val="20"/>
          <w:szCs w:val="20"/>
        </w:rPr>
        <w:t>Tutorial</w:t>
      </w:r>
      <w:r w:rsidR="00FE1D9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I</w:t>
      </w:r>
      <w:r w:rsidRPr="005E764D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 w:rsidRPr="005E764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A60636">
        <w:rPr>
          <w:rFonts w:ascii="Arial" w:hAnsi="Arial" w:cs="Arial"/>
          <w:color w:val="A6A6A6" w:themeColor="background1" w:themeShade="A6"/>
          <w:sz w:val="20"/>
          <w:szCs w:val="20"/>
        </w:rPr>
        <w:t>Victor Gimenez Perales</w:t>
      </w:r>
    </w:p>
    <w:p w:rsidR="00F84B23" w:rsidRDefault="00A60636" w:rsidP="00127253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Time: </w:t>
      </w:r>
      <w:r w:rsidR="00B82706">
        <w:rPr>
          <w:rFonts w:ascii="Arial" w:hAnsi="Arial" w:cs="Arial"/>
          <w:color w:val="A6A6A6" w:themeColor="background1" w:themeShade="A6"/>
          <w:sz w:val="20"/>
          <w:szCs w:val="20"/>
        </w:rPr>
        <w:t>Wednesday, 12:15 – 1:45 pm</w:t>
      </w:r>
    </w:p>
    <w:p w:rsidR="00F31A31" w:rsidRDefault="00A60636" w:rsidP="00B82706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Room: </w:t>
      </w:r>
      <w:r w:rsidR="00B82706" w:rsidRPr="00B82706">
        <w:rPr>
          <w:rFonts w:ascii="Arial" w:hAnsi="Arial" w:cs="Arial"/>
          <w:color w:val="A6A6A6" w:themeColor="background1" w:themeShade="A6"/>
          <w:sz w:val="20"/>
          <w:szCs w:val="20"/>
        </w:rPr>
        <w:t>00 424 Container - Übungsraum 2</w:t>
      </w:r>
    </w:p>
    <w:p w:rsidR="00FE1D9B" w:rsidRPr="005E764D" w:rsidRDefault="00FE1D9B" w:rsidP="00FE1D9B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bookmarkStart w:id="0" w:name="_GoBack"/>
      <w:bookmarkEnd w:id="0"/>
      <w:r w:rsidRPr="005E764D">
        <w:rPr>
          <w:rFonts w:ascii="Arial" w:hAnsi="Arial" w:cs="Arial"/>
          <w:color w:val="A6A6A6" w:themeColor="background1" w:themeShade="A6"/>
          <w:sz w:val="20"/>
          <w:szCs w:val="20"/>
        </w:rPr>
        <w:t>Tutorial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I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I</w:t>
      </w:r>
      <w:r w:rsidRPr="005E764D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 w:rsidRPr="005E764D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Victor Gimenez Perales</w:t>
      </w:r>
    </w:p>
    <w:p w:rsidR="00FE1D9B" w:rsidRDefault="00FE1D9B" w:rsidP="00FE1D9B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Time: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Thursday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, 12:15 – 1:45 pm</w:t>
      </w:r>
    </w:p>
    <w:p w:rsidR="00FE1D9B" w:rsidRDefault="00FE1D9B" w:rsidP="00FE1D9B">
      <w:pPr>
        <w:spacing w:after="0"/>
        <w:ind w:left="720" w:firstLine="72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Room: </w:t>
      </w:r>
      <w:r w:rsidRPr="00B82706">
        <w:rPr>
          <w:rFonts w:ascii="Arial" w:hAnsi="Arial" w:cs="Arial"/>
          <w:color w:val="A6A6A6" w:themeColor="background1" w:themeShade="A6"/>
          <w:sz w:val="20"/>
          <w:szCs w:val="20"/>
        </w:rPr>
        <w:t>00 424 Container - Übungsraum 2</w:t>
      </w:r>
    </w:p>
    <w:p w:rsidR="00FE1D9B" w:rsidRDefault="00FE1D9B" w:rsidP="00D46A90">
      <w:pPr>
        <w:rPr>
          <w:rFonts w:ascii="Arial" w:hAnsi="Arial" w:cs="Arial"/>
          <w:sz w:val="20"/>
          <w:szCs w:val="20"/>
        </w:rPr>
      </w:pPr>
    </w:p>
    <w:p w:rsidR="002F609E" w:rsidRDefault="000716EB" w:rsidP="00D46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policy </w:t>
      </w:r>
      <w:r w:rsidR="00115984">
        <w:rPr>
          <w:rFonts w:ascii="Arial" w:hAnsi="Arial" w:cs="Arial"/>
          <w:sz w:val="20"/>
          <w:szCs w:val="20"/>
        </w:rPr>
        <w:t>comprises</w:t>
      </w:r>
      <w:r w:rsidR="00114917">
        <w:rPr>
          <w:rFonts w:ascii="Arial" w:hAnsi="Arial" w:cs="Arial"/>
          <w:sz w:val="20"/>
          <w:szCs w:val="20"/>
        </w:rPr>
        <w:t xml:space="preserve"> </w:t>
      </w:r>
      <w:r w:rsidR="00115984">
        <w:rPr>
          <w:rFonts w:ascii="Arial" w:hAnsi="Arial" w:cs="Arial"/>
          <w:sz w:val="20"/>
          <w:szCs w:val="20"/>
        </w:rPr>
        <w:t>all government</w:t>
      </w:r>
      <w:r w:rsidR="00A4787A">
        <w:rPr>
          <w:rFonts w:ascii="Arial" w:hAnsi="Arial" w:cs="Arial"/>
          <w:sz w:val="20"/>
          <w:szCs w:val="20"/>
        </w:rPr>
        <w:t xml:space="preserve"> </w:t>
      </w:r>
      <w:r w:rsidR="00115984">
        <w:rPr>
          <w:rFonts w:ascii="Arial" w:hAnsi="Arial" w:cs="Arial"/>
          <w:sz w:val="20"/>
          <w:szCs w:val="20"/>
        </w:rPr>
        <w:t>policies targeted at</w:t>
      </w:r>
      <w:r>
        <w:rPr>
          <w:rFonts w:ascii="Arial" w:hAnsi="Arial" w:cs="Arial"/>
          <w:sz w:val="20"/>
          <w:szCs w:val="20"/>
        </w:rPr>
        <w:t xml:space="preserve"> cross-border trade flow</w:t>
      </w:r>
      <w:r w:rsidR="002C2B97">
        <w:rPr>
          <w:rFonts w:ascii="Arial" w:hAnsi="Arial" w:cs="Arial"/>
          <w:sz w:val="20"/>
          <w:szCs w:val="20"/>
        </w:rPr>
        <w:t>s</w:t>
      </w:r>
      <w:r w:rsidR="00115984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typically </w:t>
      </w:r>
      <w:r w:rsidR="00115984">
        <w:rPr>
          <w:rFonts w:ascii="Arial" w:hAnsi="Arial" w:cs="Arial"/>
          <w:sz w:val="20"/>
          <w:szCs w:val="20"/>
        </w:rPr>
        <w:t>consist</w:t>
      </w:r>
      <w:r w:rsidR="008C2394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import tariffs o</w:t>
      </w:r>
      <w:r w:rsidR="00626AC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other trade-restricting </w:t>
      </w:r>
      <w:r w:rsidR="00626AC8">
        <w:rPr>
          <w:rFonts w:ascii="Arial" w:hAnsi="Arial" w:cs="Arial"/>
          <w:sz w:val="20"/>
          <w:szCs w:val="20"/>
        </w:rPr>
        <w:t>barriers</w:t>
      </w:r>
      <w:r>
        <w:rPr>
          <w:rFonts w:ascii="Arial" w:hAnsi="Arial" w:cs="Arial"/>
          <w:sz w:val="20"/>
          <w:szCs w:val="20"/>
        </w:rPr>
        <w:t xml:space="preserve">. </w:t>
      </w:r>
      <w:r w:rsidRPr="000716EB">
        <w:rPr>
          <w:rFonts w:ascii="Arial" w:hAnsi="Arial" w:cs="Arial"/>
          <w:sz w:val="20"/>
          <w:szCs w:val="20"/>
        </w:rPr>
        <w:t>Th</w:t>
      </w:r>
      <w:r w:rsidR="008C239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course introduces the core topics </w:t>
      </w:r>
      <w:r w:rsidR="0059040F">
        <w:rPr>
          <w:rFonts w:ascii="Arial" w:hAnsi="Arial" w:cs="Arial"/>
          <w:sz w:val="20"/>
          <w:szCs w:val="20"/>
        </w:rPr>
        <w:t xml:space="preserve">and objectives </w:t>
      </w:r>
      <w:r>
        <w:rPr>
          <w:rFonts w:ascii="Arial" w:hAnsi="Arial" w:cs="Arial"/>
          <w:sz w:val="20"/>
          <w:szCs w:val="20"/>
        </w:rPr>
        <w:t>of trade policy</w:t>
      </w:r>
      <w:r w:rsidR="00B20C7B">
        <w:rPr>
          <w:rFonts w:ascii="Arial" w:hAnsi="Arial" w:cs="Arial"/>
          <w:sz w:val="20"/>
          <w:szCs w:val="20"/>
        </w:rPr>
        <w:t>,</w:t>
      </w:r>
      <w:r w:rsidR="002F609E">
        <w:rPr>
          <w:rFonts w:ascii="Arial" w:hAnsi="Arial" w:cs="Arial"/>
          <w:sz w:val="20"/>
          <w:szCs w:val="20"/>
        </w:rPr>
        <w:t xml:space="preserve"> such as</w:t>
      </w:r>
      <w:r w:rsidR="00B20C7B">
        <w:rPr>
          <w:rFonts w:ascii="Arial" w:hAnsi="Arial" w:cs="Arial"/>
          <w:sz w:val="20"/>
          <w:szCs w:val="20"/>
        </w:rPr>
        <w:t xml:space="preserve"> </w:t>
      </w:r>
      <w:r w:rsidR="00A1732B">
        <w:rPr>
          <w:rFonts w:ascii="Arial" w:hAnsi="Arial" w:cs="Arial"/>
          <w:sz w:val="20"/>
          <w:szCs w:val="20"/>
        </w:rPr>
        <w:t xml:space="preserve">terms-of-trade manipulation, </w:t>
      </w:r>
      <w:r w:rsidR="004268DA">
        <w:rPr>
          <w:rFonts w:ascii="Arial" w:hAnsi="Arial" w:cs="Arial"/>
          <w:sz w:val="20"/>
          <w:szCs w:val="20"/>
        </w:rPr>
        <w:t xml:space="preserve">rational for trade agreements, </w:t>
      </w:r>
      <w:r w:rsidR="00A1732B">
        <w:rPr>
          <w:rFonts w:ascii="Arial" w:hAnsi="Arial" w:cs="Arial"/>
          <w:sz w:val="20"/>
          <w:szCs w:val="20"/>
        </w:rPr>
        <w:t>infant industries</w:t>
      </w:r>
      <w:r w:rsidR="002F609E">
        <w:rPr>
          <w:rFonts w:ascii="Arial" w:hAnsi="Arial" w:cs="Arial"/>
          <w:sz w:val="20"/>
          <w:szCs w:val="20"/>
        </w:rPr>
        <w:t xml:space="preserve"> </w:t>
      </w:r>
      <w:r w:rsidR="00F27723">
        <w:rPr>
          <w:rFonts w:ascii="Arial" w:hAnsi="Arial" w:cs="Arial"/>
          <w:sz w:val="20"/>
          <w:szCs w:val="20"/>
        </w:rPr>
        <w:t xml:space="preserve">protection </w:t>
      </w:r>
      <w:r w:rsidR="002F609E">
        <w:rPr>
          <w:rFonts w:ascii="Arial" w:hAnsi="Arial" w:cs="Arial"/>
          <w:sz w:val="20"/>
          <w:szCs w:val="20"/>
        </w:rPr>
        <w:t>and lobbying activities</w:t>
      </w:r>
      <w:r>
        <w:rPr>
          <w:rFonts w:ascii="Arial" w:hAnsi="Arial" w:cs="Arial"/>
          <w:sz w:val="20"/>
          <w:szCs w:val="20"/>
        </w:rPr>
        <w:t>.</w:t>
      </w:r>
      <w:r w:rsidR="002F609E">
        <w:rPr>
          <w:rFonts w:ascii="Arial" w:hAnsi="Arial" w:cs="Arial"/>
          <w:sz w:val="20"/>
          <w:szCs w:val="20"/>
        </w:rPr>
        <w:t xml:space="preserve"> </w:t>
      </w:r>
      <w:r w:rsidR="00E564E9">
        <w:rPr>
          <w:rFonts w:ascii="Arial" w:hAnsi="Arial" w:cs="Arial"/>
          <w:sz w:val="20"/>
          <w:szCs w:val="20"/>
        </w:rPr>
        <w:t>Selected</w:t>
      </w:r>
      <w:r w:rsidR="00454637">
        <w:rPr>
          <w:rFonts w:ascii="Arial" w:hAnsi="Arial" w:cs="Arial"/>
          <w:sz w:val="20"/>
          <w:szCs w:val="20"/>
        </w:rPr>
        <w:t xml:space="preserve"> c</w:t>
      </w:r>
      <w:r w:rsidR="006519FC">
        <w:rPr>
          <w:rFonts w:ascii="Arial" w:hAnsi="Arial" w:cs="Arial"/>
          <w:sz w:val="20"/>
          <w:szCs w:val="20"/>
        </w:rPr>
        <w:t xml:space="preserve">urrent policy topics </w:t>
      </w:r>
      <w:r w:rsidR="00C369E9">
        <w:rPr>
          <w:rFonts w:ascii="Arial" w:hAnsi="Arial" w:cs="Arial"/>
          <w:sz w:val="20"/>
          <w:szCs w:val="20"/>
        </w:rPr>
        <w:t xml:space="preserve">in trade policy </w:t>
      </w:r>
      <w:r w:rsidR="00B77FB8">
        <w:rPr>
          <w:rFonts w:ascii="Arial" w:hAnsi="Arial" w:cs="Arial"/>
          <w:sz w:val="20"/>
          <w:szCs w:val="20"/>
        </w:rPr>
        <w:t xml:space="preserve">will be </w:t>
      </w:r>
      <w:r w:rsidR="006519FC">
        <w:rPr>
          <w:rFonts w:ascii="Arial" w:hAnsi="Arial" w:cs="Arial"/>
          <w:sz w:val="20"/>
          <w:szCs w:val="20"/>
        </w:rPr>
        <w:t xml:space="preserve">discussed in light of theories and empirical regularities. </w:t>
      </w:r>
      <w:r w:rsidR="00A8664B">
        <w:rPr>
          <w:rFonts w:ascii="Arial" w:hAnsi="Arial" w:cs="Arial"/>
          <w:sz w:val="20"/>
          <w:szCs w:val="20"/>
        </w:rPr>
        <w:t xml:space="preserve">Time permitting, the course </w:t>
      </w:r>
      <w:r w:rsidR="003A266F">
        <w:rPr>
          <w:rFonts w:ascii="Arial" w:hAnsi="Arial" w:cs="Arial"/>
          <w:sz w:val="20"/>
          <w:szCs w:val="20"/>
        </w:rPr>
        <w:t>r</w:t>
      </w:r>
      <w:r w:rsidR="00A8664B">
        <w:rPr>
          <w:rFonts w:ascii="Arial" w:hAnsi="Arial" w:cs="Arial"/>
          <w:sz w:val="20"/>
          <w:szCs w:val="20"/>
        </w:rPr>
        <w:t>eviews some of the principles of international trade agreements and assesses them in view of current theories and findings.</w:t>
      </w:r>
      <w:r w:rsidR="00A8664B" w:rsidRPr="006519FC">
        <w:rPr>
          <w:rFonts w:ascii="Arial" w:hAnsi="Arial" w:cs="Arial"/>
          <w:sz w:val="20"/>
          <w:szCs w:val="20"/>
        </w:rPr>
        <w:t xml:space="preserve"> </w:t>
      </w:r>
      <w:r w:rsidR="00D111DC">
        <w:rPr>
          <w:rFonts w:ascii="Arial" w:hAnsi="Arial" w:cs="Arial"/>
          <w:sz w:val="20"/>
          <w:szCs w:val="20"/>
        </w:rPr>
        <w:t xml:space="preserve">On the technical side, </w:t>
      </w:r>
      <w:r w:rsidR="000A5716">
        <w:rPr>
          <w:rFonts w:ascii="Arial" w:hAnsi="Arial" w:cs="Arial"/>
          <w:sz w:val="20"/>
          <w:szCs w:val="20"/>
        </w:rPr>
        <w:t xml:space="preserve">the course develops the </w:t>
      </w:r>
      <w:r w:rsidR="00D111DC">
        <w:rPr>
          <w:rFonts w:ascii="Arial" w:hAnsi="Arial" w:cs="Arial"/>
          <w:sz w:val="20"/>
          <w:szCs w:val="20"/>
        </w:rPr>
        <w:t>t</w:t>
      </w:r>
      <w:r w:rsidR="0088492D">
        <w:rPr>
          <w:rFonts w:ascii="Arial" w:hAnsi="Arial" w:cs="Arial"/>
          <w:sz w:val="20"/>
          <w:szCs w:val="20"/>
        </w:rPr>
        <w:t>he</w:t>
      </w:r>
      <w:r w:rsidR="00C91CB8">
        <w:rPr>
          <w:rFonts w:ascii="Arial" w:hAnsi="Arial" w:cs="Arial"/>
          <w:sz w:val="20"/>
          <w:szCs w:val="20"/>
        </w:rPr>
        <w:t xml:space="preserve">ories </w:t>
      </w:r>
      <w:r w:rsidR="00290E71">
        <w:rPr>
          <w:rFonts w:ascii="Arial" w:hAnsi="Arial" w:cs="Arial"/>
          <w:sz w:val="20"/>
          <w:szCs w:val="20"/>
        </w:rPr>
        <w:t xml:space="preserve">with the help of </w:t>
      </w:r>
      <w:r w:rsidR="002F6C9F">
        <w:rPr>
          <w:rFonts w:ascii="Arial" w:hAnsi="Arial" w:cs="Arial"/>
          <w:sz w:val="20"/>
          <w:szCs w:val="20"/>
        </w:rPr>
        <w:t xml:space="preserve">partial and general equilibrium models, as usually employed in international </w:t>
      </w:r>
      <w:r w:rsidR="00290E71">
        <w:rPr>
          <w:rFonts w:ascii="Arial" w:hAnsi="Arial" w:cs="Arial"/>
          <w:sz w:val="20"/>
          <w:szCs w:val="20"/>
        </w:rPr>
        <w:t>trade</w:t>
      </w:r>
      <w:r w:rsidR="00827AA0">
        <w:rPr>
          <w:rFonts w:ascii="Arial" w:hAnsi="Arial" w:cs="Arial"/>
          <w:sz w:val="20"/>
          <w:szCs w:val="20"/>
        </w:rPr>
        <w:t>.</w:t>
      </w:r>
      <w:r w:rsidR="005D7875">
        <w:rPr>
          <w:rFonts w:ascii="Arial" w:hAnsi="Arial" w:cs="Arial"/>
          <w:sz w:val="20"/>
          <w:szCs w:val="20"/>
        </w:rPr>
        <w:t xml:space="preserve"> Prior knowledge from international trade courses are therefore not mandatory but very helpful.</w:t>
      </w:r>
      <w:r w:rsidR="00827AA0">
        <w:rPr>
          <w:rFonts w:ascii="Arial" w:hAnsi="Arial" w:cs="Arial"/>
          <w:sz w:val="20"/>
          <w:szCs w:val="20"/>
        </w:rPr>
        <w:t xml:space="preserve"> E</w:t>
      </w:r>
      <w:r w:rsidR="00E17593">
        <w:rPr>
          <w:rFonts w:ascii="Arial" w:hAnsi="Arial" w:cs="Arial"/>
          <w:sz w:val="20"/>
          <w:szCs w:val="20"/>
        </w:rPr>
        <w:t xml:space="preserve">mpirical </w:t>
      </w:r>
      <w:r w:rsidR="00ED0026">
        <w:rPr>
          <w:rFonts w:ascii="Arial" w:hAnsi="Arial" w:cs="Arial"/>
          <w:sz w:val="20"/>
          <w:szCs w:val="20"/>
        </w:rPr>
        <w:t>work</w:t>
      </w:r>
      <w:r w:rsidR="00E17593">
        <w:rPr>
          <w:rFonts w:ascii="Arial" w:hAnsi="Arial" w:cs="Arial"/>
          <w:sz w:val="20"/>
          <w:szCs w:val="20"/>
        </w:rPr>
        <w:t xml:space="preserve"> </w:t>
      </w:r>
      <w:r w:rsidR="006519FC">
        <w:rPr>
          <w:rFonts w:ascii="Arial" w:hAnsi="Arial" w:cs="Arial"/>
          <w:sz w:val="20"/>
          <w:szCs w:val="20"/>
        </w:rPr>
        <w:t xml:space="preserve">mostly </w:t>
      </w:r>
      <w:r w:rsidR="00E17593">
        <w:rPr>
          <w:rFonts w:ascii="Arial" w:hAnsi="Arial" w:cs="Arial"/>
          <w:sz w:val="20"/>
          <w:szCs w:val="20"/>
        </w:rPr>
        <w:t xml:space="preserve">rely on panel </w:t>
      </w:r>
      <w:r w:rsidR="006519FC">
        <w:rPr>
          <w:rFonts w:ascii="Arial" w:hAnsi="Arial" w:cs="Arial"/>
          <w:sz w:val="20"/>
          <w:szCs w:val="20"/>
        </w:rPr>
        <w:t>data analyses</w:t>
      </w:r>
      <w:r w:rsidR="00290E71">
        <w:rPr>
          <w:rFonts w:ascii="Arial" w:hAnsi="Arial" w:cs="Arial"/>
          <w:sz w:val="20"/>
          <w:szCs w:val="20"/>
        </w:rPr>
        <w:t>.</w:t>
      </w:r>
      <w:r w:rsidR="0088492D">
        <w:rPr>
          <w:rFonts w:ascii="Arial" w:hAnsi="Arial" w:cs="Arial"/>
          <w:sz w:val="20"/>
          <w:szCs w:val="20"/>
        </w:rPr>
        <w:t xml:space="preserve"> </w:t>
      </w:r>
    </w:p>
    <w:p w:rsidR="00C4617D" w:rsidRDefault="00CF65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147DF" w:rsidRPr="00C30F36" w:rsidRDefault="00B147DF">
      <w:pPr>
        <w:rPr>
          <w:rFonts w:ascii="Arial" w:hAnsi="Arial" w:cs="Arial"/>
          <w:sz w:val="20"/>
          <w:szCs w:val="20"/>
        </w:rPr>
      </w:pPr>
    </w:p>
    <w:p w:rsidR="00B5546A" w:rsidRPr="00C30F36" w:rsidRDefault="00CF65B1" w:rsidP="00CF65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Textbook</w:t>
      </w:r>
      <w:r w:rsidR="00930F12">
        <w:rPr>
          <w:rFonts w:ascii="Arial" w:hAnsi="Arial" w:cs="Arial"/>
          <w:b/>
          <w:sz w:val="20"/>
          <w:szCs w:val="20"/>
        </w:rPr>
        <w:t>s</w:t>
      </w:r>
    </w:p>
    <w:p w:rsidR="00B5546A" w:rsidRPr="004031E7" w:rsidRDefault="00B5546A">
      <w:pPr>
        <w:rPr>
          <w:rFonts w:ascii="Arial" w:hAnsi="Arial" w:cs="Arial"/>
          <w:color w:val="222222"/>
          <w:sz w:val="20"/>
          <w:szCs w:val="20"/>
        </w:rPr>
      </w:pPr>
      <w:r w:rsidRPr="004031E7">
        <w:rPr>
          <w:rFonts w:ascii="Arial" w:hAnsi="Arial" w:cs="Arial"/>
          <w:color w:val="222222"/>
          <w:sz w:val="20"/>
          <w:szCs w:val="20"/>
        </w:rPr>
        <w:t xml:space="preserve">Feenstra, Robert C. </w:t>
      </w:r>
      <w:r w:rsidRPr="004031E7">
        <w:rPr>
          <w:rFonts w:ascii="Arial" w:hAnsi="Arial" w:cs="Arial"/>
          <w:iCs/>
          <w:color w:val="222222"/>
          <w:sz w:val="20"/>
          <w:szCs w:val="20"/>
        </w:rPr>
        <w:t>Advanced international trade: theory and evidence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. Princeton university press, </w:t>
      </w:r>
      <w:r w:rsidR="00AA35B4" w:rsidRPr="004031E7">
        <w:rPr>
          <w:rFonts w:ascii="Arial" w:hAnsi="Arial" w:cs="Arial"/>
          <w:color w:val="222222"/>
          <w:sz w:val="20"/>
          <w:szCs w:val="20"/>
        </w:rPr>
        <w:t>201</w:t>
      </w:r>
      <w:r w:rsidR="00AA35B4">
        <w:rPr>
          <w:rFonts w:ascii="Arial" w:hAnsi="Arial" w:cs="Arial"/>
          <w:color w:val="222222"/>
          <w:sz w:val="20"/>
          <w:szCs w:val="20"/>
        </w:rPr>
        <w:t>6</w:t>
      </w:r>
      <w:r w:rsidRPr="004031E7">
        <w:rPr>
          <w:rFonts w:ascii="Arial" w:hAnsi="Arial" w:cs="Arial"/>
          <w:color w:val="222222"/>
          <w:sz w:val="20"/>
          <w:szCs w:val="20"/>
        </w:rPr>
        <w:t>.</w:t>
      </w:r>
    </w:p>
    <w:p w:rsidR="00CF6F6C" w:rsidRDefault="00FB2F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[</w:t>
      </w:r>
      <w:r w:rsidR="00166D6F" w:rsidRPr="004031E7">
        <w:rPr>
          <w:rFonts w:ascii="Arial" w:hAnsi="Arial" w:cs="Arial"/>
          <w:color w:val="222222"/>
          <w:sz w:val="20"/>
          <w:szCs w:val="20"/>
        </w:rPr>
        <w:t xml:space="preserve">Mas-Colell, Andreu, Michael Dennis Whinston, and Jerry R. Green. </w:t>
      </w:r>
      <w:r w:rsidR="00D942EA">
        <w:rPr>
          <w:rFonts w:ascii="Arial" w:hAnsi="Arial" w:cs="Arial"/>
          <w:color w:val="222222"/>
          <w:sz w:val="20"/>
          <w:szCs w:val="20"/>
        </w:rPr>
        <w:t xml:space="preserve">1995 </w:t>
      </w:r>
      <w:r w:rsidR="00166D6F" w:rsidRPr="004031E7">
        <w:rPr>
          <w:rFonts w:ascii="Arial" w:hAnsi="Arial" w:cs="Arial"/>
          <w:iCs/>
          <w:color w:val="222222"/>
          <w:sz w:val="20"/>
          <w:szCs w:val="20"/>
        </w:rPr>
        <w:t>Microeconomic theory</w:t>
      </w:r>
      <w:r w:rsidR="00166D6F" w:rsidRPr="004031E7">
        <w:rPr>
          <w:rFonts w:ascii="Arial" w:hAnsi="Arial" w:cs="Arial"/>
          <w:color w:val="222222"/>
          <w:sz w:val="20"/>
          <w:szCs w:val="20"/>
        </w:rPr>
        <w:t>. Vol. 1.</w:t>
      </w:r>
      <w:r>
        <w:rPr>
          <w:rFonts w:ascii="Arial" w:hAnsi="Arial" w:cs="Arial"/>
          <w:sz w:val="20"/>
          <w:szCs w:val="20"/>
        </w:rPr>
        <w:t>]</w:t>
      </w:r>
    </w:p>
    <w:p w:rsidR="00930F12" w:rsidRDefault="00930F12">
      <w:pPr>
        <w:rPr>
          <w:rFonts w:ascii="Arial" w:hAnsi="Arial" w:cs="Arial"/>
          <w:sz w:val="20"/>
          <w:szCs w:val="20"/>
        </w:rPr>
      </w:pPr>
    </w:p>
    <w:p w:rsidR="00B147DF" w:rsidRPr="004031E7" w:rsidRDefault="00B147DF">
      <w:pPr>
        <w:rPr>
          <w:rFonts w:ascii="Arial" w:hAnsi="Arial" w:cs="Arial"/>
          <w:sz w:val="20"/>
          <w:szCs w:val="20"/>
        </w:rPr>
      </w:pPr>
    </w:p>
    <w:p w:rsidR="00A1056B" w:rsidRPr="004031E7" w:rsidRDefault="00A1056B" w:rsidP="00AA2FF8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031E7">
        <w:rPr>
          <w:rFonts w:ascii="Arial" w:hAnsi="Arial" w:cs="Arial"/>
          <w:b/>
          <w:sz w:val="20"/>
          <w:szCs w:val="20"/>
        </w:rPr>
        <w:t>Preliminaries</w:t>
      </w:r>
      <w:r w:rsidR="00404AAB" w:rsidRPr="004031E7">
        <w:rPr>
          <w:rFonts w:ascii="Arial" w:hAnsi="Arial" w:cs="Arial"/>
          <w:b/>
          <w:sz w:val="20"/>
          <w:szCs w:val="20"/>
        </w:rPr>
        <w:t xml:space="preserve"> </w:t>
      </w:r>
      <w:r w:rsidR="00404AAB" w:rsidRPr="004031E7">
        <w:rPr>
          <w:rFonts w:ascii="Arial" w:hAnsi="Arial" w:cs="Arial"/>
          <w:b/>
          <w:color w:val="A6A6A6" w:themeColor="background1" w:themeShade="A6"/>
          <w:sz w:val="20"/>
          <w:szCs w:val="20"/>
        </w:rPr>
        <w:t>[</w:t>
      </w:r>
      <w:r w:rsidR="00B90165">
        <w:rPr>
          <w:rFonts w:ascii="Arial" w:hAnsi="Arial" w:cs="Arial"/>
          <w:b/>
          <w:color w:val="A6A6A6" w:themeColor="background1" w:themeShade="A6"/>
          <w:sz w:val="20"/>
          <w:szCs w:val="20"/>
        </w:rPr>
        <w:t>M</w:t>
      </w:r>
      <w:r w:rsidR="00530F90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otivation and analytical </w:t>
      </w:r>
      <w:r w:rsidR="00D76971">
        <w:rPr>
          <w:rFonts w:ascii="Arial" w:hAnsi="Arial" w:cs="Arial"/>
          <w:b/>
          <w:color w:val="A6A6A6" w:themeColor="background1" w:themeShade="A6"/>
          <w:sz w:val="20"/>
          <w:szCs w:val="20"/>
        </w:rPr>
        <w:t>tools</w:t>
      </w:r>
      <w:r w:rsidR="00404AAB" w:rsidRPr="004031E7">
        <w:rPr>
          <w:rFonts w:ascii="Arial" w:hAnsi="Arial" w:cs="Arial"/>
          <w:b/>
          <w:color w:val="A6A6A6" w:themeColor="background1" w:themeShade="A6"/>
          <w:sz w:val="20"/>
          <w:szCs w:val="20"/>
        </w:rPr>
        <w:t>]</w:t>
      </w:r>
    </w:p>
    <w:p w:rsidR="00A1056B" w:rsidRPr="00AD786B" w:rsidRDefault="00A1056B" w:rsidP="00A1056B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  <w:r w:rsidR="008C7347">
        <w:rPr>
          <w:rFonts w:ascii="Arial" w:hAnsi="Arial" w:cs="Arial"/>
          <w:i/>
          <w:sz w:val="20"/>
          <w:szCs w:val="20"/>
        </w:rPr>
        <w:t xml:space="preserve"> </w:t>
      </w:r>
    </w:p>
    <w:p w:rsidR="00750183" w:rsidRDefault="00166D6F" w:rsidP="00750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MWG: </w:t>
      </w:r>
      <w:r w:rsidR="00750183" w:rsidRPr="004031E7">
        <w:rPr>
          <w:rFonts w:ascii="Arial" w:hAnsi="Arial" w:cs="Arial"/>
          <w:sz w:val="20"/>
          <w:szCs w:val="20"/>
        </w:rPr>
        <w:t>Chapter 15</w:t>
      </w:r>
      <w:r w:rsidR="005347D0">
        <w:rPr>
          <w:rFonts w:ascii="Arial" w:hAnsi="Arial" w:cs="Arial"/>
          <w:sz w:val="20"/>
          <w:szCs w:val="20"/>
        </w:rPr>
        <w:t xml:space="preserve"> </w:t>
      </w:r>
      <w:r w:rsidR="00A91AB1">
        <w:rPr>
          <w:rFonts w:ascii="Arial" w:hAnsi="Arial" w:cs="Arial"/>
          <w:sz w:val="20"/>
          <w:szCs w:val="20"/>
        </w:rPr>
        <w:t xml:space="preserve">(pp. 515 – 521) </w:t>
      </w:r>
    </w:p>
    <w:p w:rsidR="007B6EBC" w:rsidRPr="004031E7" w:rsidRDefault="007B6EBC" w:rsidP="00A1056B">
      <w:pPr>
        <w:rPr>
          <w:rFonts w:ascii="Arial" w:hAnsi="Arial" w:cs="Arial"/>
          <w:sz w:val="20"/>
          <w:szCs w:val="20"/>
        </w:rPr>
      </w:pPr>
      <w:r w:rsidRPr="00B82706">
        <w:rPr>
          <w:rFonts w:ascii="Arial" w:hAnsi="Arial" w:cs="Arial"/>
          <w:color w:val="222222"/>
          <w:sz w:val="20"/>
          <w:szCs w:val="20"/>
        </w:rPr>
        <w:t xml:space="preserve">Dornbusch, Rudiger, Stanley Fischer, and Paul Anthony Samuelson. 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"Comparative advantage, trade, and payments in a Ricardian model with a continuum of goods." </w:t>
      </w:r>
      <w:r w:rsidRPr="004031E7">
        <w:rPr>
          <w:rFonts w:ascii="Arial" w:hAnsi="Arial" w:cs="Arial"/>
          <w:iCs/>
          <w:color w:val="222222"/>
          <w:sz w:val="20"/>
          <w:szCs w:val="20"/>
        </w:rPr>
        <w:t>American Economic Review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 67.5 (1977): 823-839.</w:t>
      </w:r>
    </w:p>
    <w:p w:rsidR="00830482" w:rsidRPr="00AD786B" w:rsidRDefault="00830482" w:rsidP="0083048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Optional </w:t>
      </w:r>
      <w:r w:rsidRPr="00AD786B">
        <w:rPr>
          <w:rFonts w:ascii="Arial" w:hAnsi="Arial" w:cs="Arial"/>
          <w:i/>
          <w:sz w:val="20"/>
          <w:szCs w:val="20"/>
        </w:rPr>
        <w:t>readings</w:t>
      </w:r>
    </w:p>
    <w:p w:rsidR="00CC6401" w:rsidRPr="004031E7" w:rsidRDefault="00CC6401" w:rsidP="00CC6401">
      <w:pPr>
        <w:rPr>
          <w:rFonts w:ascii="Arial" w:hAnsi="Arial" w:cs="Arial"/>
          <w:color w:val="222222"/>
          <w:sz w:val="20"/>
          <w:szCs w:val="20"/>
        </w:rPr>
      </w:pPr>
      <w:r w:rsidRPr="004031E7">
        <w:rPr>
          <w:rFonts w:ascii="Arial" w:hAnsi="Arial" w:cs="Arial"/>
          <w:color w:val="222222"/>
          <w:sz w:val="20"/>
          <w:szCs w:val="20"/>
        </w:rPr>
        <w:t xml:space="preserve">Krugman, Paul. "Scale economies, product differentiation, and the pattern of trade." </w:t>
      </w:r>
      <w:r w:rsidRPr="004031E7">
        <w:rPr>
          <w:rFonts w:ascii="Arial" w:hAnsi="Arial" w:cs="Arial"/>
          <w:iCs/>
          <w:color w:val="222222"/>
          <w:sz w:val="20"/>
          <w:szCs w:val="20"/>
        </w:rPr>
        <w:t>American Economic Review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 70.5 (1980): 950-959.</w:t>
      </w:r>
    </w:p>
    <w:p w:rsidR="00830482" w:rsidRPr="004031E7" w:rsidRDefault="00830482" w:rsidP="00830482">
      <w:pPr>
        <w:rPr>
          <w:rFonts w:ascii="Arial" w:hAnsi="Arial" w:cs="Arial"/>
          <w:sz w:val="20"/>
          <w:szCs w:val="20"/>
        </w:rPr>
      </w:pPr>
      <w:r w:rsidRPr="004031E7">
        <w:rPr>
          <w:rFonts w:ascii="Arial" w:hAnsi="Arial" w:cs="Arial"/>
          <w:color w:val="222222"/>
          <w:sz w:val="20"/>
          <w:szCs w:val="20"/>
        </w:rPr>
        <w:lastRenderedPageBreak/>
        <w:t xml:space="preserve">Anderson, James E., and Eric Van Wincoop. "Gravity with gravitas: a solution to the border puzzle." </w:t>
      </w:r>
      <w:r w:rsidRPr="004031E7">
        <w:rPr>
          <w:rFonts w:ascii="Arial" w:hAnsi="Arial" w:cs="Arial"/>
          <w:iCs/>
          <w:color w:val="222222"/>
          <w:sz w:val="20"/>
          <w:szCs w:val="20"/>
        </w:rPr>
        <w:t>American Economic Review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 93.1 (2003): 170-192.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426A3" w:rsidRPr="004031E7" w:rsidRDefault="00A426A3" w:rsidP="00A426A3">
      <w:pPr>
        <w:rPr>
          <w:rFonts w:ascii="Arial" w:hAnsi="Arial" w:cs="Arial"/>
          <w:sz w:val="20"/>
          <w:szCs w:val="20"/>
        </w:rPr>
      </w:pPr>
    </w:p>
    <w:p w:rsidR="00A426A3" w:rsidRPr="00AF53CA" w:rsidRDefault="00BC4052" w:rsidP="003D7A16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F53CA">
        <w:rPr>
          <w:rFonts w:ascii="Arial" w:hAnsi="Arial" w:cs="Arial"/>
          <w:b/>
          <w:sz w:val="20"/>
          <w:szCs w:val="20"/>
        </w:rPr>
        <w:t xml:space="preserve">Import Tariffs and Optimal </w:t>
      </w:r>
      <w:r w:rsidR="004D61BA">
        <w:rPr>
          <w:rFonts w:ascii="Arial" w:hAnsi="Arial" w:cs="Arial"/>
          <w:b/>
          <w:sz w:val="20"/>
          <w:szCs w:val="20"/>
        </w:rPr>
        <w:t>T</w:t>
      </w:r>
      <w:r w:rsidRPr="00AF53CA">
        <w:rPr>
          <w:rFonts w:ascii="Arial" w:hAnsi="Arial" w:cs="Arial"/>
          <w:b/>
          <w:sz w:val="20"/>
          <w:szCs w:val="20"/>
        </w:rPr>
        <w:t>rade Policy</w:t>
      </w:r>
      <w:r w:rsidR="00A426A3" w:rsidRPr="00AF53CA">
        <w:rPr>
          <w:rFonts w:ascii="Arial" w:hAnsi="Arial" w:cs="Arial"/>
          <w:b/>
          <w:sz w:val="20"/>
          <w:szCs w:val="20"/>
        </w:rPr>
        <w:t xml:space="preserve"> </w:t>
      </w:r>
      <w:r w:rsidR="00A426A3" w:rsidRPr="00AF53CA">
        <w:rPr>
          <w:rFonts w:ascii="Arial" w:hAnsi="Arial" w:cs="Arial"/>
          <w:b/>
          <w:color w:val="A6A6A6" w:themeColor="background1" w:themeShade="A6"/>
          <w:sz w:val="20"/>
          <w:szCs w:val="20"/>
        </w:rPr>
        <w:t>[</w:t>
      </w:r>
      <w:r w:rsidR="00CC6401">
        <w:rPr>
          <w:rFonts w:ascii="Arial" w:hAnsi="Arial" w:cs="Arial"/>
          <w:b/>
          <w:color w:val="A6A6A6" w:themeColor="background1" w:themeShade="A6"/>
          <w:sz w:val="20"/>
          <w:szCs w:val="20"/>
        </w:rPr>
        <w:t>The</w:t>
      </w:r>
      <w:r w:rsidRPr="00AF53CA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</w:t>
      </w:r>
      <w:r w:rsidR="0088689A" w:rsidRPr="00AF53CA">
        <w:rPr>
          <w:rFonts w:ascii="Arial" w:hAnsi="Arial" w:cs="Arial"/>
          <w:b/>
          <w:color w:val="A6A6A6" w:themeColor="background1" w:themeShade="A6"/>
          <w:sz w:val="20"/>
          <w:szCs w:val="20"/>
        </w:rPr>
        <w:t>rational</w:t>
      </w:r>
      <w:r w:rsidRPr="00AF53CA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for trade policy</w:t>
      </w:r>
      <w:r w:rsidR="00A426A3" w:rsidRPr="00AF53CA">
        <w:rPr>
          <w:rFonts w:ascii="Arial" w:hAnsi="Arial" w:cs="Arial"/>
          <w:b/>
          <w:color w:val="A6A6A6" w:themeColor="background1" w:themeShade="A6"/>
          <w:sz w:val="20"/>
          <w:szCs w:val="20"/>
        </w:rPr>
        <w:t>]</w:t>
      </w:r>
    </w:p>
    <w:p w:rsidR="00A426A3" w:rsidRPr="00AD786B" w:rsidRDefault="00A426A3" w:rsidP="00A426A3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A426A3" w:rsidRPr="004031E7" w:rsidRDefault="00A426A3" w:rsidP="00A42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Feenstra, p 137 - 147</w:t>
      </w:r>
    </w:p>
    <w:p w:rsidR="005054AF" w:rsidRDefault="00105EB1" w:rsidP="00A426A3">
      <w:pPr>
        <w:rPr>
          <w:rFonts w:ascii="Arial" w:hAnsi="Arial" w:cs="Arial"/>
          <w:sz w:val="20"/>
          <w:szCs w:val="20"/>
        </w:rPr>
      </w:pPr>
      <w:r w:rsidRPr="00C0172F">
        <w:rPr>
          <w:rFonts w:ascii="Arial" w:hAnsi="Arial" w:cs="Arial"/>
          <w:sz w:val="20"/>
          <w:szCs w:val="20"/>
        </w:rPr>
        <w:t xml:space="preserve">Broda, C., Limao, N., and Weinstein, D. E. (2008). </w:t>
      </w:r>
      <w:r w:rsidRPr="00105EB1">
        <w:rPr>
          <w:rFonts w:ascii="Arial" w:hAnsi="Arial" w:cs="Arial"/>
          <w:sz w:val="20"/>
          <w:szCs w:val="20"/>
        </w:rPr>
        <w:t>Optimal tariffs and market power: the evidence. American Economic Review, 98(5), 2032-65.</w:t>
      </w:r>
    </w:p>
    <w:p w:rsidR="00A426A3" w:rsidRPr="00AD786B" w:rsidRDefault="00A426A3" w:rsidP="00A426A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Optional </w:t>
      </w:r>
      <w:r w:rsidRPr="00AD786B">
        <w:rPr>
          <w:rFonts w:ascii="Arial" w:hAnsi="Arial" w:cs="Arial"/>
          <w:i/>
          <w:sz w:val="20"/>
          <w:szCs w:val="20"/>
        </w:rPr>
        <w:t>readings</w:t>
      </w:r>
    </w:p>
    <w:p w:rsidR="00A426A3" w:rsidRDefault="005054AF" w:rsidP="00A426A3">
      <w:pPr>
        <w:rPr>
          <w:rFonts w:ascii="Arial" w:hAnsi="Arial" w:cs="Arial"/>
          <w:color w:val="222222"/>
          <w:sz w:val="20"/>
          <w:szCs w:val="20"/>
        </w:rPr>
      </w:pPr>
      <w:r w:rsidRPr="005054AF">
        <w:rPr>
          <w:rFonts w:ascii="Arial" w:hAnsi="Arial" w:cs="Arial"/>
          <w:color w:val="222222"/>
          <w:sz w:val="20"/>
          <w:szCs w:val="20"/>
        </w:rPr>
        <w:t>Broda, Christian, and David E. Weinstein</w:t>
      </w:r>
      <w:r w:rsidR="0027616A">
        <w:rPr>
          <w:rFonts w:ascii="Arial" w:hAnsi="Arial" w:cs="Arial"/>
          <w:color w:val="222222"/>
          <w:sz w:val="20"/>
          <w:szCs w:val="20"/>
        </w:rPr>
        <w:t xml:space="preserve"> (2006)</w:t>
      </w:r>
      <w:r w:rsidRPr="005054AF">
        <w:rPr>
          <w:rFonts w:ascii="Arial" w:hAnsi="Arial" w:cs="Arial"/>
          <w:color w:val="222222"/>
          <w:sz w:val="20"/>
          <w:szCs w:val="20"/>
        </w:rPr>
        <w:t xml:space="preserve">. "Globalization and the Gains from Variety." The Quarterly journal of </w:t>
      </w:r>
      <w:r>
        <w:rPr>
          <w:rFonts w:ascii="Arial" w:hAnsi="Arial" w:cs="Arial"/>
          <w:color w:val="222222"/>
          <w:sz w:val="20"/>
          <w:szCs w:val="20"/>
        </w:rPr>
        <w:t xml:space="preserve">economics 121.2 </w:t>
      </w:r>
      <w:r w:rsidR="0027616A">
        <w:rPr>
          <w:rFonts w:ascii="Arial" w:hAnsi="Arial" w:cs="Arial"/>
          <w:color w:val="222222"/>
          <w:sz w:val="20"/>
          <w:szCs w:val="20"/>
        </w:rPr>
        <w:t>pp.</w:t>
      </w:r>
      <w:r>
        <w:rPr>
          <w:rFonts w:ascii="Arial" w:hAnsi="Arial" w:cs="Arial"/>
          <w:color w:val="222222"/>
          <w:sz w:val="20"/>
          <w:szCs w:val="20"/>
        </w:rPr>
        <w:t xml:space="preserve"> 541-585</w:t>
      </w:r>
    </w:p>
    <w:p w:rsidR="00B302C6" w:rsidRDefault="00B302C6" w:rsidP="00A426A3">
      <w:pPr>
        <w:rPr>
          <w:rFonts w:ascii="Arial" w:hAnsi="Arial" w:cs="Arial"/>
          <w:sz w:val="20"/>
          <w:szCs w:val="20"/>
        </w:rPr>
      </w:pPr>
      <w:r w:rsidRPr="00B302C6">
        <w:rPr>
          <w:rFonts w:ascii="Arial" w:hAnsi="Arial" w:cs="Arial"/>
          <w:sz w:val="20"/>
          <w:szCs w:val="20"/>
        </w:rPr>
        <w:t xml:space="preserve">Bagwell, K., </w:t>
      </w:r>
      <w:r>
        <w:rPr>
          <w:rFonts w:ascii="Arial" w:hAnsi="Arial" w:cs="Arial"/>
          <w:sz w:val="20"/>
          <w:szCs w:val="20"/>
        </w:rPr>
        <w:t>and</w:t>
      </w:r>
      <w:r w:rsidRPr="00B302C6">
        <w:rPr>
          <w:rFonts w:ascii="Arial" w:hAnsi="Arial" w:cs="Arial"/>
          <w:sz w:val="20"/>
          <w:szCs w:val="20"/>
        </w:rPr>
        <w:t xml:space="preserve"> Staiger, R. W. (2011). What do trade negotiators negotiate about? Empirical evidence from the World Trade Organization. American Economic Review, 101(4), 1238-73.</w:t>
      </w:r>
    </w:p>
    <w:p w:rsidR="00430340" w:rsidRPr="00B302C6" w:rsidRDefault="00430340" w:rsidP="00A426A3">
      <w:pPr>
        <w:rPr>
          <w:rFonts w:ascii="Arial" w:hAnsi="Arial" w:cs="Arial"/>
          <w:sz w:val="20"/>
          <w:szCs w:val="20"/>
        </w:rPr>
      </w:pPr>
      <w:r w:rsidRPr="00430340">
        <w:rPr>
          <w:rFonts w:ascii="Arial" w:hAnsi="Arial" w:cs="Arial"/>
          <w:sz w:val="20"/>
          <w:szCs w:val="20"/>
        </w:rPr>
        <w:t xml:space="preserve">Cagé, J., </w:t>
      </w:r>
      <w:r>
        <w:rPr>
          <w:rFonts w:ascii="Arial" w:hAnsi="Arial" w:cs="Arial"/>
          <w:sz w:val="20"/>
          <w:szCs w:val="20"/>
        </w:rPr>
        <w:t>and</w:t>
      </w:r>
      <w:r w:rsidRPr="00430340">
        <w:rPr>
          <w:rFonts w:ascii="Arial" w:hAnsi="Arial" w:cs="Arial"/>
          <w:sz w:val="20"/>
          <w:szCs w:val="20"/>
        </w:rPr>
        <w:t xml:space="preserve"> Gadenne, L. (2018). Tax revenues and the fiscal cost of trade liberalization, 1792–2006. Explorations in Economic History, 70, 1-24.</w:t>
      </w:r>
    </w:p>
    <w:p w:rsidR="00BC4052" w:rsidRPr="00B302C6" w:rsidRDefault="00BC4052" w:rsidP="00BC4052">
      <w:pPr>
        <w:rPr>
          <w:rFonts w:ascii="Arial" w:hAnsi="Arial" w:cs="Arial"/>
          <w:sz w:val="20"/>
          <w:szCs w:val="20"/>
        </w:rPr>
      </w:pPr>
    </w:p>
    <w:p w:rsidR="00BC4052" w:rsidRPr="00D705DC" w:rsidRDefault="00C834D6" w:rsidP="00B62CA0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705DC">
        <w:rPr>
          <w:rFonts w:ascii="Arial" w:hAnsi="Arial" w:cs="Arial"/>
          <w:b/>
          <w:sz w:val="20"/>
          <w:szCs w:val="20"/>
        </w:rPr>
        <w:t>Trade Policy in General Equilibrium</w:t>
      </w:r>
      <w:r w:rsidR="00BC4052" w:rsidRPr="00D705DC">
        <w:rPr>
          <w:rFonts w:ascii="Arial" w:hAnsi="Arial" w:cs="Arial"/>
          <w:b/>
          <w:sz w:val="20"/>
          <w:szCs w:val="20"/>
        </w:rPr>
        <w:t xml:space="preserve"> </w:t>
      </w:r>
    </w:p>
    <w:p w:rsidR="00BC4052" w:rsidRPr="00AD786B" w:rsidRDefault="00BC4052" w:rsidP="00BC4052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</w:p>
    <w:p w:rsidR="00250B4B" w:rsidRDefault="00250B4B" w:rsidP="00250B4B">
      <w:pPr>
        <w:rPr>
          <w:rFonts w:ascii="Arial" w:hAnsi="Arial" w:cs="Arial"/>
          <w:sz w:val="20"/>
          <w:szCs w:val="20"/>
        </w:rPr>
      </w:pPr>
      <w:r w:rsidRPr="004031E7">
        <w:rPr>
          <w:rFonts w:ascii="Arial" w:hAnsi="Arial" w:cs="Arial"/>
          <w:sz w:val="20"/>
          <w:szCs w:val="20"/>
        </w:rPr>
        <w:t>Kennan, John, and Raymond Riezman. "Do big countries win tariff wars?" International Economic Review (1988): 81-85.</w:t>
      </w:r>
    </w:p>
    <w:p w:rsidR="00EA2742" w:rsidRDefault="00EA2742" w:rsidP="00250B4B">
      <w:pPr>
        <w:rPr>
          <w:rFonts w:ascii="Arial" w:hAnsi="Arial" w:cs="Arial"/>
          <w:sz w:val="20"/>
          <w:szCs w:val="20"/>
        </w:rPr>
      </w:pPr>
      <w:r w:rsidRPr="00EA2742">
        <w:rPr>
          <w:rFonts w:ascii="Arial" w:hAnsi="Arial" w:cs="Arial"/>
          <w:sz w:val="20"/>
          <w:szCs w:val="20"/>
        </w:rPr>
        <w:t xml:space="preserve">McLaren, John. "Size, sunk costs, and Judge Bowker's objection to free trade." The American </w:t>
      </w:r>
      <w:r>
        <w:rPr>
          <w:rFonts w:ascii="Arial" w:hAnsi="Arial" w:cs="Arial"/>
          <w:sz w:val="20"/>
          <w:szCs w:val="20"/>
        </w:rPr>
        <w:t>Economic Review (1997): 400-420</w:t>
      </w:r>
    </w:p>
    <w:p w:rsidR="00D960BB" w:rsidRPr="00AD786B" w:rsidRDefault="00D960BB" w:rsidP="00D960BB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Optional readings</w:t>
      </w:r>
    </w:p>
    <w:p w:rsidR="00D960BB" w:rsidRPr="00035C6C" w:rsidRDefault="00D960BB" w:rsidP="00D960BB">
      <w:pPr>
        <w:rPr>
          <w:rFonts w:ascii="Arial" w:hAnsi="Arial" w:cs="Arial"/>
          <w:color w:val="222222"/>
          <w:sz w:val="20"/>
          <w:szCs w:val="20"/>
        </w:rPr>
      </w:pPr>
      <w:r w:rsidRPr="004031E7">
        <w:rPr>
          <w:rFonts w:ascii="Arial" w:hAnsi="Arial" w:cs="Arial"/>
          <w:color w:val="222222"/>
          <w:sz w:val="20"/>
          <w:szCs w:val="20"/>
        </w:rPr>
        <w:t xml:space="preserve">Lerner, Abba P. "The symmetry between import and export taxes." </w:t>
      </w:r>
      <w:r w:rsidRPr="00035C6C">
        <w:rPr>
          <w:rFonts w:ascii="Arial" w:hAnsi="Arial" w:cs="Arial"/>
          <w:iCs/>
          <w:color w:val="222222"/>
          <w:sz w:val="20"/>
          <w:szCs w:val="20"/>
        </w:rPr>
        <w:t>Economica</w:t>
      </w:r>
      <w:r w:rsidRPr="00035C6C">
        <w:rPr>
          <w:rFonts w:ascii="Arial" w:hAnsi="Arial" w:cs="Arial"/>
          <w:color w:val="222222"/>
          <w:sz w:val="20"/>
          <w:szCs w:val="20"/>
        </w:rPr>
        <w:t xml:space="preserve"> 3.11 (1936): 306-313.</w:t>
      </w:r>
    </w:p>
    <w:p w:rsidR="00D960BB" w:rsidRDefault="00D960BB" w:rsidP="00D960BB">
      <w:pPr>
        <w:rPr>
          <w:rFonts w:ascii="Arial" w:hAnsi="Arial" w:cs="Arial"/>
          <w:sz w:val="20"/>
          <w:szCs w:val="20"/>
        </w:rPr>
      </w:pPr>
      <w:r w:rsidRPr="008640A6">
        <w:rPr>
          <w:rFonts w:ascii="Arial" w:hAnsi="Arial" w:cs="Arial"/>
          <w:sz w:val="20"/>
          <w:szCs w:val="20"/>
        </w:rPr>
        <w:t xml:space="preserve">Lindé, Jesper, and Andrea Pescatori. </w:t>
      </w:r>
      <w:r w:rsidRPr="004031E7">
        <w:rPr>
          <w:rFonts w:ascii="Arial" w:hAnsi="Arial" w:cs="Arial"/>
          <w:sz w:val="20"/>
          <w:szCs w:val="20"/>
        </w:rPr>
        <w:t>"The Macroeconomic Effects of Trade Tariffs: Revisiting the Lerner Symmetry Result</w:t>
      </w:r>
      <w:r>
        <w:rPr>
          <w:rFonts w:ascii="Arial" w:hAnsi="Arial" w:cs="Arial"/>
          <w:sz w:val="20"/>
          <w:szCs w:val="20"/>
        </w:rPr>
        <w:t xml:space="preserve">." IMF Working Paper </w:t>
      </w:r>
      <w:r w:rsidRPr="004031E7">
        <w:rPr>
          <w:rFonts w:ascii="Arial" w:hAnsi="Arial" w:cs="Arial"/>
          <w:sz w:val="20"/>
          <w:szCs w:val="20"/>
        </w:rPr>
        <w:t>(2017).</w:t>
      </w:r>
    </w:p>
    <w:p w:rsidR="00E2257B" w:rsidRDefault="00E2257B" w:rsidP="00E2257B">
      <w:pPr>
        <w:rPr>
          <w:rFonts w:ascii="Arial" w:hAnsi="Arial" w:cs="Arial"/>
          <w:color w:val="222222"/>
          <w:sz w:val="20"/>
          <w:szCs w:val="20"/>
        </w:rPr>
      </w:pPr>
      <w:r w:rsidRPr="00B46CD6">
        <w:rPr>
          <w:rFonts w:ascii="Arial" w:hAnsi="Arial" w:cs="Arial"/>
          <w:color w:val="222222"/>
          <w:sz w:val="20"/>
          <w:szCs w:val="20"/>
        </w:rPr>
        <w:t xml:space="preserve">Maggi, Giovanni, and Andres Rodriguez-Clare. 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"The value of trade agreements in the presence of political pressures." </w:t>
      </w:r>
      <w:r w:rsidRPr="004031E7">
        <w:rPr>
          <w:rFonts w:ascii="Arial" w:hAnsi="Arial" w:cs="Arial"/>
          <w:iCs/>
          <w:color w:val="222222"/>
          <w:sz w:val="20"/>
          <w:szCs w:val="20"/>
        </w:rPr>
        <w:t>Journal of Political Economy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 106.3 (1998): 574-601.</w:t>
      </w:r>
    </w:p>
    <w:p w:rsidR="00C82F54" w:rsidRDefault="00C82F54" w:rsidP="00E2257B">
      <w:pPr>
        <w:rPr>
          <w:rFonts w:ascii="Arial" w:hAnsi="Arial" w:cs="Arial"/>
          <w:color w:val="222222"/>
          <w:sz w:val="20"/>
          <w:szCs w:val="20"/>
        </w:rPr>
      </w:pPr>
      <w:r w:rsidRPr="00C82F54">
        <w:rPr>
          <w:rFonts w:ascii="Arial" w:hAnsi="Arial" w:cs="Arial"/>
          <w:color w:val="222222"/>
          <w:sz w:val="20"/>
          <w:szCs w:val="20"/>
        </w:rPr>
        <w:t xml:space="preserve">Gopinath, G., </w:t>
      </w:r>
      <w:r>
        <w:rPr>
          <w:rFonts w:ascii="Arial" w:hAnsi="Arial" w:cs="Arial"/>
          <w:color w:val="222222"/>
          <w:sz w:val="20"/>
          <w:szCs w:val="20"/>
        </w:rPr>
        <w:t>and</w:t>
      </w:r>
      <w:r w:rsidRPr="00C82F54">
        <w:rPr>
          <w:rFonts w:ascii="Arial" w:hAnsi="Arial" w:cs="Arial"/>
          <w:color w:val="222222"/>
          <w:sz w:val="20"/>
          <w:szCs w:val="20"/>
        </w:rPr>
        <w:t xml:space="preserve"> Rigobon, R. (2008). </w:t>
      </w:r>
      <w:r w:rsidR="001F4AC0">
        <w:rPr>
          <w:rFonts w:ascii="Arial" w:hAnsi="Arial" w:cs="Arial"/>
          <w:color w:val="222222"/>
          <w:sz w:val="20"/>
          <w:szCs w:val="20"/>
        </w:rPr>
        <w:t>“</w:t>
      </w:r>
      <w:r w:rsidRPr="00C82F54">
        <w:rPr>
          <w:rFonts w:ascii="Arial" w:hAnsi="Arial" w:cs="Arial"/>
          <w:color w:val="222222"/>
          <w:sz w:val="20"/>
          <w:szCs w:val="20"/>
        </w:rPr>
        <w:t>Sticky borders.</w:t>
      </w:r>
      <w:r w:rsidR="001F4AC0">
        <w:rPr>
          <w:rFonts w:ascii="Arial" w:hAnsi="Arial" w:cs="Arial"/>
          <w:color w:val="222222"/>
          <w:sz w:val="20"/>
          <w:szCs w:val="20"/>
        </w:rPr>
        <w:t>”</w:t>
      </w:r>
      <w:r w:rsidRPr="00C82F54">
        <w:rPr>
          <w:rFonts w:ascii="Arial" w:hAnsi="Arial" w:cs="Arial"/>
          <w:color w:val="222222"/>
          <w:sz w:val="20"/>
          <w:szCs w:val="20"/>
        </w:rPr>
        <w:t xml:space="preserve"> Quarterly Journal of Economics, 123(2), 531-575.</w:t>
      </w:r>
    </w:p>
    <w:p w:rsidR="001F4AC0" w:rsidRDefault="001F4AC0" w:rsidP="00E2257B">
      <w:pPr>
        <w:rPr>
          <w:rFonts w:ascii="Arial" w:hAnsi="Arial" w:cs="Arial"/>
          <w:color w:val="222222"/>
          <w:sz w:val="20"/>
          <w:szCs w:val="20"/>
        </w:rPr>
      </w:pPr>
      <w:r w:rsidRPr="001F4AC0">
        <w:rPr>
          <w:rFonts w:ascii="Arial" w:hAnsi="Arial" w:cs="Arial"/>
          <w:color w:val="222222"/>
          <w:sz w:val="20"/>
          <w:szCs w:val="20"/>
        </w:rPr>
        <w:t>Bonadio,</w:t>
      </w:r>
      <w:r>
        <w:rPr>
          <w:rFonts w:ascii="Arial" w:hAnsi="Arial" w:cs="Arial"/>
          <w:color w:val="222222"/>
          <w:sz w:val="20"/>
          <w:szCs w:val="20"/>
        </w:rPr>
        <w:t xml:space="preserve"> B.,</w:t>
      </w:r>
      <w:r w:rsidRPr="001F4AC0">
        <w:rPr>
          <w:rFonts w:ascii="Arial" w:hAnsi="Arial" w:cs="Arial"/>
          <w:color w:val="222222"/>
          <w:sz w:val="20"/>
          <w:szCs w:val="20"/>
        </w:rPr>
        <w:t xml:space="preserve"> A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1F4AC0">
        <w:rPr>
          <w:rFonts w:ascii="Arial" w:hAnsi="Arial" w:cs="Arial"/>
          <w:color w:val="222222"/>
          <w:sz w:val="20"/>
          <w:szCs w:val="20"/>
        </w:rPr>
        <w:t xml:space="preserve"> M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1F4AC0">
        <w:rPr>
          <w:rFonts w:ascii="Arial" w:hAnsi="Arial" w:cs="Arial"/>
          <w:color w:val="222222"/>
          <w:sz w:val="20"/>
          <w:szCs w:val="20"/>
        </w:rPr>
        <w:t xml:space="preserve"> Fischer, Philip Sauré, </w:t>
      </w:r>
      <w:r>
        <w:rPr>
          <w:rFonts w:ascii="Arial" w:hAnsi="Arial" w:cs="Arial"/>
          <w:color w:val="222222"/>
          <w:sz w:val="20"/>
          <w:szCs w:val="20"/>
        </w:rPr>
        <w:t>“</w:t>
      </w:r>
      <w:r w:rsidRPr="001F4AC0">
        <w:rPr>
          <w:rFonts w:ascii="Arial" w:hAnsi="Arial" w:cs="Arial"/>
          <w:color w:val="222222"/>
          <w:sz w:val="20"/>
          <w:szCs w:val="20"/>
        </w:rPr>
        <w:t>The Speed of Exchange Rate Pass-Through</w:t>
      </w:r>
      <w:r>
        <w:rPr>
          <w:rFonts w:ascii="Arial" w:hAnsi="Arial" w:cs="Arial"/>
          <w:color w:val="222222"/>
          <w:sz w:val="20"/>
          <w:szCs w:val="20"/>
        </w:rPr>
        <w:t>”</w:t>
      </w:r>
      <w:r w:rsidRPr="001F4AC0">
        <w:rPr>
          <w:rFonts w:ascii="Arial" w:hAnsi="Arial" w:cs="Arial"/>
          <w:color w:val="222222"/>
          <w:sz w:val="20"/>
          <w:szCs w:val="20"/>
        </w:rPr>
        <w:t>, Journal of the European Economic Association</w:t>
      </w:r>
      <w:r w:rsidR="003B1606">
        <w:rPr>
          <w:rFonts w:ascii="Arial" w:hAnsi="Arial" w:cs="Arial"/>
          <w:color w:val="222222"/>
          <w:sz w:val="20"/>
          <w:szCs w:val="20"/>
        </w:rPr>
        <w:t xml:space="preserve"> forthcoming</w:t>
      </w:r>
    </w:p>
    <w:p w:rsidR="000A157E" w:rsidRPr="00C82F54" w:rsidRDefault="000A157E" w:rsidP="000A157E">
      <w:pPr>
        <w:rPr>
          <w:rFonts w:ascii="Arial" w:hAnsi="Arial" w:cs="Arial"/>
          <w:sz w:val="20"/>
          <w:szCs w:val="20"/>
        </w:rPr>
      </w:pPr>
    </w:p>
    <w:p w:rsidR="000A157E" w:rsidRPr="004A007B" w:rsidRDefault="000A157E" w:rsidP="00563CA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A007B">
        <w:rPr>
          <w:rFonts w:ascii="Arial" w:hAnsi="Arial" w:cs="Arial"/>
          <w:b/>
          <w:sz w:val="20"/>
          <w:szCs w:val="20"/>
        </w:rPr>
        <w:t>Trade Policy and Market Structure</w:t>
      </w:r>
      <w:r w:rsidR="004A007B" w:rsidRPr="004A007B">
        <w:rPr>
          <w:rFonts w:ascii="Arial" w:hAnsi="Arial" w:cs="Arial"/>
          <w:b/>
          <w:sz w:val="20"/>
          <w:szCs w:val="20"/>
        </w:rPr>
        <w:t xml:space="preserve"> </w:t>
      </w:r>
      <w:r w:rsidRPr="004A007B">
        <w:rPr>
          <w:rFonts w:ascii="Arial" w:hAnsi="Arial" w:cs="Arial"/>
          <w:b/>
          <w:color w:val="A6A6A6" w:themeColor="background1" w:themeShade="A6"/>
          <w:sz w:val="20"/>
          <w:szCs w:val="20"/>
        </w:rPr>
        <w:t>[</w:t>
      </w:r>
      <w:r w:rsidR="004A007B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Trade </w:t>
      </w:r>
      <w:r w:rsidR="00BB76EF">
        <w:rPr>
          <w:rFonts w:ascii="Arial" w:hAnsi="Arial" w:cs="Arial"/>
          <w:b/>
          <w:color w:val="A6A6A6" w:themeColor="background1" w:themeShade="A6"/>
          <w:sz w:val="20"/>
          <w:szCs w:val="20"/>
        </w:rPr>
        <w:t>p</w:t>
      </w:r>
      <w:r w:rsidR="004A007B">
        <w:rPr>
          <w:rFonts w:ascii="Arial" w:hAnsi="Arial" w:cs="Arial"/>
          <w:b/>
          <w:color w:val="A6A6A6" w:themeColor="background1" w:themeShade="A6"/>
          <w:sz w:val="20"/>
          <w:szCs w:val="20"/>
        </w:rPr>
        <w:t>olicy in non-competitive settings</w:t>
      </w:r>
      <w:r w:rsidRPr="004A007B">
        <w:rPr>
          <w:rFonts w:ascii="Arial" w:hAnsi="Arial" w:cs="Arial"/>
          <w:b/>
          <w:color w:val="A6A6A6" w:themeColor="background1" w:themeShade="A6"/>
          <w:sz w:val="20"/>
          <w:szCs w:val="20"/>
        </w:rPr>
        <w:t>]</w:t>
      </w:r>
    </w:p>
    <w:p w:rsidR="000A157E" w:rsidRPr="00AD786B" w:rsidRDefault="000A157E" w:rsidP="000A157E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</w:p>
    <w:p w:rsidR="000A157E" w:rsidRDefault="00991F72" w:rsidP="00991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Feenstra pp. 224 </w:t>
      </w:r>
      <w:r w:rsidR="00AF3BB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239</w:t>
      </w:r>
    </w:p>
    <w:p w:rsidR="00AF3BBC" w:rsidRPr="00AD786B" w:rsidRDefault="00AF3BBC" w:rsidP="00AF3BB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Optional </w:t>
      </w:r>
      <w:r w:rsidRPr="00AD786B">
        <w:rPr>
          <w:rFonts w:ascii="Arial" w:hAnsi="Arial" w:cs="Arial"/>
          <w:i/>
          <w:sz w:val="20"/>
          <w:szCs w:val="20"/>
        </w:rPr>
        <w:t>readings</w:t>
      </w:r>
    </w:p>
    <w:p w:rsidR="00AF3BBC" w:rsidRDefault="00AF3BBC" w:rsidP="00991F72">
      <w:pPr>
        <w:rPr>
          <w:rFonts w:ascii="Arial" w:hAnsi="Arial" w:cs="Arial"/>
          <w:sz w:val="20"/>
          <w:szCs w:val="20"/>
        </w:rPr>
      </w:pPr>
      <w:r w:rsidRPr="00AF3BBC">
        <w:rPr>
          <w:rFonts w:ascii="Arial" w:hAnsi="Arial" w:cs="Arial"/>
          <w:sz w:val="20"/>
          <w:szCs w:val="20"/>
        </w:rPr>
        <w:lastRenderedPageBreak/>
        <w:t>Brander, J. A., &amp; Spencer, B. J. (1984). Trade warfare: tariffs and cartels. Journal of international Economics, 16(3-4), 227-242.</w:t>
      </w:r>
    </w:p>
    <w:p w:rsidR="00C24725" w:rsidRPr="000A157E" w:rsidRDefault="00C24725" w:rsidP="00BC4052">
      <w:pPr>
        <w:rPr>
          <w:rFonts w:ascii="Arial" w:hAnsi="Arial" w:cs="Arial"/>
          <w:sz w:val="20"/>
          <w:szCs w:val="20"/>
        </w:rPr>
      </w:pPr>
    </w:p>
    <w:p w:rsidR="00696847" w:rsidRPr="003D11BC" w:rsidRDefault="00F04FFA" w:rsidP="00677FD1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D11BC">
        <w:rPr>
          <w:rFonts w:ascii="Arial" w:hAnsi="Arial" w:cs="Arial"/>
          <w:b/>
          <w:sz w:val="20"/>
          <w:szCs w:val="20"/>
        </w:rPr>
        <w:t>Dynamic</w:t>
      </w:r>
      <w:r w:rsidR="00892C22" w:rsidRPr="003D11BC">
        <w:rPr>
          <w:rFonts w:ascii="Arial" w:hAnsi="Arial" w:cs="Arial"/>
          <w:b/>
          <w:sz w:val="20"/>
          <w:szCs w:val="20"/>
        </w:rPr>
        <w:t xml:space="preserve"> </w:t>
      </w:r>
      <w:bookmarkStart w:id="1" w:name="_Hlk492650344"/>
      <w:r w:rsidR="00F14854" w:rsidRPr="003D11BC">
        <w:rPr>
          <w:rFonts w:ascii="Arial" w:hAnsi="Arial" w:cs="Arial"/>
          <w:b/>
          <w:sz w:val="20"/>
          <w:szCs w:val="20"/>
        </w:rPr>
        <w:t>Aspects of Trade Policy</w:t>
      </w:r>
      <w:r w:rsidR="003D11BC" w:rsidRPr="003D11BC">
        <w:rPr>
          <w:rFonts w:ascii="Arial" w:hAnsi="Arial" w:cs="Arial"/>
          <w:b/>
          <w:sz w:val="20"/>
          <w:szCs w:val="20"/>
        </w:rPr>
        <w:t xml:space="preserve"> </w:t>
      </w:r>
      <w:r w:rsidR="00932657" w:rsidRPr="003D11BC">
        <w:rPr>
          <w:rFonts w:ascii="Arial" w:hAnsi="Arial" w:cs="Arial"/>
          <w:b/>
          <w:color w:val="A6A6A6" w:themeColor="background1" w:themeShade="A6"/>
          <w:sz w:val="20"/>
          <w:szCs w:val="20"/>
        </w:rPr>
        <w:t>[</w:t>
      </w:r>
      <w:r w:rsidR="00B65593">
        <w:rPr>
          <w:rFonts w:ascii="Arial" w:hAnsi="Arial" w:cs="Arial"/>
          <w:b/>
          <w:color w:val="A6A6A6" w:themeColor="background1" w:themeShade="A6"/>
          <w:sz w:val="20"/>
          <w:szCs w:val="20"/>
        </w:rPr>
        <w:t>Dynamically</w:t>
      </w:r>
      <w:r w:rsidR="00585E01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optimal</w:t>
      </w:r>
      <w:r w:rsidR="00C34B85" w:rsidRPr="003D11BC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</w:t>
      </w:r>
      <w:r w:rsidR="00BB76EF">
        <w:rPr>
          <w:rFonts w:ascii="Arial" w:hAnsi="Arial" w:cs="Arial"/>
          <w:b/>
          <w:color w:val="A6A6A6" w:themeColor="background1" w:themeShade="A6"/>
          <w:sz w:val="20"/>
          <w:szCs w:val="20"/>
        </w:rPr>
        <w:t>t</w:t>
      </w:r>
      <w:r w:rsidR="00C34B85" w:rsidRPr="003D11BC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rade </w:t>
      </w:r>
      <w:r w:rsidR="00BB76EF">
        <w:rPr>
          <w:rFonts w:ascii="Arial" w:hAnsi="Arial" w:cs="Arial"/>
          <w:b/>
          <w:color w:val="A6A6A6" w:themeColor="background1" w:themeShade="A6"/>
          <w:sz w:val="20"/>
          <w:szCs w:val="20"/>
        </w:rPr>
        <w:t>p</w:t>
      </w:r>
      <w:r w:rsidR="00C34B85" w:rsidRPr="003D11BC">
        <w:rPr>
          <w:rFonts w:ascii="Arial" w:hAnsi="Arial" w:cs="Arial"/>
          <w:b/>
          <w:color w:val="A6A6A6" w:themeColor="background1" w:themeShade="A6"/>
          <w:sz w:val="20"/>
          <w:szCs w:val="20"/>
        </w:rPr>
        <w:t>olicy</w:t>
      </w:r>
      <w:r w:rsidR="00932657" w:rsidRPr="003D11BC">
        <w:rPr>
          <w:rFonts w:ascii="Arial" w:hAnsi="Arial" w:cs="Arial"/>
          <w:b/>
          <w:color w:val="A6A6A6" w:themeColor="background1" w:themeShade="A6"/>
          <w:sz w:val="20"/>
          <w:szCs w:val="20"/>
        </w:rPr>
        <w:t>]</w:t>
      </w:r>
      <w:bookmarkEnd w:id="1"/>
    </w:p>
    <w:p w:rsidR="00696847" w:rsidRPr="00AD786B" w:rsidRDefault="00B5546A">
      <w:pPr>
        <w:rPr>
          <w:rFonts w:ascii="Arial" w:hAnsi="Arial" w:cs="Arial"/>
          <w:i/>
          <w:sz w:val="20"/>
          <w:szCs w:val="20"/>
        </w:rPr>
      </w:pPr>
      <w:bookmarkStart w:id="2" w:name="_Hlk492474536"/>
      <w:r w:rsidRPr="00AD786B">
        <w:rPr>
          <w:rFonts w:ascii="Arial" w:hAnsi="Arial" w:cs="Arial"/>
          <w:i/>
          <w:sz w:val="20"/>
          <w:szCs w:val="20"/>
        </w:rPr>
        <w:t>Required readings</w:t>
      </w:r>
    </w:p>
    <w:p w:rsidR="00932657" w:rsidRPr="004031E7" w:rsidRDefault="00932657" w:rsidP="00932657">
      <w:pPr>
        <w:rPr>
          <w:rFonts w:ascii="Arial" w:hAnsi="Arial" w:cs="Arial"/>
          <w:color w:val="222222"/>
          <w:sz w:val="20"/>
          <w:szCs w:val="20"/>
        </w:rPr>
      </w:pPr>
      <w:r w:rsidRPr="004031E7">
        <w:rPr>
          <w:rFonts w:ascii="Arial" w:hAnsi="Arial" w:cs="Arial"/>
          <w:color w:val="222222"/>
          <w:sz w:val="20"/>
          <w:szCs w:val="20"/>
        </w:rPr>
        <w:t>Krugman, Paul</w:t>
      </w:r>
      <w:r w:rsidR="00912472">
        <w:rPr>
          <w:rFonts w:ascii="Arial" w:hAnsi="Arial" w:cs="Arial"/>
          <w:color w:val="222222"/>
          <w:sz w:val="20"/>
          <w:szCs w:val="20"/>
        </w:rPr>
        <w:t xml:space="preserve"> 1987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. "The narrow moving band, the Dutch disease, and the competitive consequences of Mrs. Thatcher: Notes on trade in the presence of dynamic scale economies." </w:t>
      </w:r>
      <w:r w:rsidRPr="004031E7">
        <w:rPr>
          <w:rFonts w:ascii="Arial" w:hAnsi="Arial" w:cs="Arial"/>
          <w:iCs/>
          <w:color w:val="222222"/>
          <w:sz w:val="20"/>
          <w:szCs w:val="20"/>
        </w:rPr>
        <w:t xml:space="preserve">Journal of </w:t>
      </w:r>
      <w:r w:rsidR="00912472">
        <w:rPr>
          <w:rFonts w:ascii="Arial" w:hAnsi="Arial" w:cs="Arial"/>
          <w:iCs/>
          <w:color w:val="222222"/>
          <w:sz w:val="20"/>
          <w:szCs w:val="20"/>
        </w:rPr>
        <w:t>D</w:t>
      </w:r>
      <w:r w:rsidRPr="004031E7">
        <w:rPr>
          <w:rFonts w:ascii="Arial" w:hAnsi="Arial" w:cs="Arial"/>
          <w:iCs/>
          <w:color w:val="222222"/>
          <w:sz w:val="20"/>
          <w:szCs w:val="20"/>
        </w:rPr>
        <w:t>evelopment Economics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 27.1-2 41-55.</w:t>
      </w:r>
    </w:p>
    <w:p w:rsidR="003F2FEF" w:rsidRDefault="003F2FEF" w:rsidP="00B5546A">
      <w:pPr>
        <w:rPr>
          <w:rFonts w:ascii="Arial" w:hAnsi="Arial" w:cs="Arial"/>
          <w:sz w:val="20"/>
          <w:szCs w:val="20"/>
        </w:rPr>
      </w:pPr>
      <w:r w:rsidRPr="003F2FEF">
        <w:rPr>
          <w:rFonts w:ascii="Arial" w:hAnsi="Arial" w:cs="Arial"/>
          <w:sz w:val="20"/>
          <w:szCs w:val="20"/>
        </w:rPr>
        <w:t>Luzio, Eduardo, and Shane Greenstein</w:t>
      </w:r>
      <w:r w:rsidR="001E5F3D">
        <w:rPr>
          <w:rFonts w:ascii="Arial" w:hAnsi="Arial" w:cs="Arial"/>
          <w:sz w:val="20"/>
          <w:szCs w:val="20"/>
        </w:rPr>
        <w:t xml:space="preserve"> </w:t>
      </w:r>
      <w:r w:rsidR="001E5F3D" w:rsidRPr="003F2FEF">
        <w:rPr>
          <w:rFonts w:ascii="Arial" w:hAnsi="Arial" w:cs="Arial"/>
          <w:sz w:val="20"/>
          <w:szCs w:val="20"/>
        </w:rPr>
        <w:t>1995</w:t>
      </w:r>
      <w:r w:rsidRPr="003F2FEF">
        <w:rPr>
          <w:rFonts w:ascii="Arial" w:hAnsi="Arial" w:cs="Arial"/>
          <w:sz w:val="20"/>
          <w:szCs w:val="20"/>
        </w:rPr>
        <w:t xml:space="preserve">. "Measuring the performance of a protected infant industry: the case of Brazilian microcomputers." The Review of Economics and </w:t>
      </w:r>
      <w:r w:rsidR="001E5F3D">
        <w:rPr>
          <w:rFonts w:ascii="Arial" w:hAnsi="Arial" w:cs="Arial"/>
          <w:sz w:val="20"/>
          <w:szCs w:val="20"/>
        </w:rPr>
        <w:t xml:space="preserve">Statistics </w:t>
      </w:r>
      <w:r w:rsidRPr="003F2FEF">
        <w:rPr>
          <w:rFonts w:ascii="Arial" w:hAnsi="Arial" w:cs="Arial"/>
          <w:sz w:val="20"/>
          <w:szCs w:val="20"/>
        </w:rPr>
        <w:t>622-633.</w:t>
      </w:r>
    </w:p>
    <w:p w:rsidR="00CF6F6C" w:rsidRPr="00AD786B" w:rsidRDefault="00CF6F6C" w:rsidP="00CF6F6C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Optional readings</w:t>
      </w:r>
    </w:p>
    <w:bookmarkEnd w:id="2"/>
    <w:p w:rsidR="006E3D69" w:rsidRDefault="006E3D69" w:rsidP="00AC4CFA">
      <w:pPr>
        <w:rPr>
          <w:rFonts w:ascii="Arial" w:hAnsi="Arial" w:cs="Arial"/>
          <w:sz w:val="20"/>
          <w:szCs w:val="20"/>
        </w:rPr>
      </w:pPr>
      <w:r w:rsidRPr="006E3D69">
        <w:rPr>
          <w:rFonts w:ascii="Arial" w:hAnsi="Arial" w:cs="Arial"/>
          <w:sz w:val="20"/>
          <w:szCs w:val="20"/>
        </w:rPr>
        <w:t>Baldwin, R. E. (1969). The case against infant-industry tariff protection. Journal of Political Economy, 77(3), 295-305.</w:t>
      </w:r>
    </w:p>
    <w:p w:rsidR="00553851" w:rsidRDefault="00553851" w:rsidP="00AC4CFA">
      <w:pPr>
        <w:rPr>
          <w:rFonts w:ascii="Arial" w:hAnsi="Arial" w:cs="Arial"/>
          <w:sz w:val="20"/>
          <w:szCs w:val="20"/>
        </w:rPr>
      </w:pPr>
      <w:r w:rsidRPr="00553851">
        <w:rPr>
          <w:rFonts w:ascii="Arial" w:hAnsi="Arial" w:cs="Arial"/>
          <w:sz w:val="20"/>
          <w:szCs w:val="20"/>
        </w:rPr>
        <w:t>Yanikkaya, H. (2003). Trade openness and economic growth: a cross-country empirical investigation. Journal of Development economics, 72(1), 57-89.</w:t>
      </w:r>
    </w:p>
    <w:p w:rsidR="007D3DF0" w:rsidRDefault="007D3DF0" w:rsidP="007D3DF0">
      <w:pPr>
        <w:rPr>
          <w:rFonts w:ascii="Arial" w:hAnsi="Arial" w:cs="Arial"/>
          <w:sz w:val="20"/>
          <w:szCs w:val="20"/>
        </w:rPr>
      </w:pPr>
      <w:r w:rsidRPr="00553851">
        <w:rPr>
          <w:rFonts w:ascii="Arial" w:hAnsi="Arial" w:cs="Arial"/>
          <w:sz w:val="20"/>
          <w:szCs w:val="20"/>
        </w:rPr>
        <w:t xml:space="preserve">Lee, Jong-Wha. "Government interventions and productivity growth." Journal of </w:t>
      </w:r>
      <w:r>
        <w:rPr>
          <w:rFonts w:ascii="Arial" w:hAnsi="Arial" w:cs="Arial"/>
          <w:sz w:val="20"/>
          <w:szCs w:val="20"/>
        </w:rPr>
        <w:t>E</w:t>
      </w:r>
      <w:r w:rsidRPr="00553851">
        <w:rPr>
          <w:rFonts w:ascii="Arial" w:hAnsi="Arial" w:cs="Arial"/>
          <w:sz w:val="20"/>
          <w:szCs w:val="20"/>
        </w:rPr>
        <w:t>conomic Growth 1.3 (1996): 391-414.</w:t>
      </w:r>
    </w:p>
    <w:p w:rsidR="00AC4CFA" w:rsidRDefault="00AC4CFA" w:rsidP="00AC4CFA">
      <w:pPr>
        <w:rPr>
          <w:rFonts w:ascii="Arial" w:hAnsi="Arial" w:cs="Arial"/>
          <w:sz w:val="20"/>
          <w:szCs w:val="20"/>
        </w:rPr>
      </w:pPr>
      <w:r w:rsidRPr="004031E7">
        <w:rPr>
          <w:rFonts w:ascii="Arial" w:hAnsi="Arial" w:cs="Arial"/>
          <w:sz w:val="20"/>
          <w:szCs w:val="20"/>
        </w:rPr>
        <w:t>Sauré, Philip</w:t>
      </w:r>
      <w:r>
        <w:rPr>
          <w:rFonts w:ascii="Arial" w:hAnsi="Arial" w:cs="Arial"/>
          <w:sz w:val="20"/>
          <w:szCs w:val="20"/>
        </w:rPr>
        <w:t xml:space="preserve"> </w:t>
      </w:r>
      <w:r w:rsidRPr="004031E7">
        <w:rPr>
          <w:rFonts w:ascii="Arial" w:hAnsi="Arial" w:cs="Arial"/>
          <w:sz w:val="20"/>
          <w:szCs w:val="20"/>
        </w:rPr>
        <w:t>2007. "Revisiting the infant industry argument." Journal</w:t>
      </w:r>
      <w:r>
        <w:rPr>
          <w:rFonts w:ascii="Arial" w:hAnsi="Arial" w:cs="Arial"/>
          <w:sz w:val="20"/>
          <w:szCs w:val="20"/>
        </w:rPr>
        <w:t xml:space="preserve"> of Development Economics 84.1 </w:t>
      </w:r>
      <w:r w:rsidRPr="004031E7">
        <w:rPr>
          <w:rFonts w:ascii="Arial" w:hAnsi="Arial" w:cs="Arial"/>
          <w:sz w:val="20"/>
          <w:szCs w:val="20"/>
        </w:rPr>
        <w:t>104-117.</w:t>
      </w:r>
    </w:p>
    <w:p w:rsidR="00673E13" w:rsidRDefault="00673E13" w:rsidP="00673E13">
      <w:pPr>
        <w:rPr>
          <w:rFonts w:ascii="Arial" w:hAnsi="Arial" w:cs="Arial"/>
          <w:sz w:val="20"/>
          <w:szCs w:val="20"/>
        </w:rPr>
      </w:pPr>
      <w:r w:rsidRPr="007D3DF0">
        <w:rPr>
          <w:rFonts w:ascii="Arial" w:hAnsi="Arial" w:cs="Arial"/>
          <w:sz w:val="20"/>
          <w:szCs w:val="20"/>
        </w:rPr>
        <w:t>David, H., David Dorn, and Gordon H. Hanson. "The China syndrome: Local labor market effects of import competition in the United States." American Economic Review 103.6 (2013): 2121-68.</w:t>
      </w:r>
    </w:p>
    <w:p w:rsidR="0018010E" w:rsidRDefault="0018010E" w:rsidP="0018010E">
      <w:pPr>
        <w:rPr>
          <w:rFonts w:ascii="Arial" w:hAnsi="Arial" w:cs="Arial"/>
          <w:sz w:val="20"/>
          <w:szCs w:val="20"/>
        </w:rPr>
      </w:pPr>
      <w:r w:rsidRPr="004031E7">
        <w:rPr>
          <w:rFonts w:ascii="Arial" w:hAnsi="Arial" w:cs="Arial"/>
          <w:color w:val="222222"/>
          <w:sz w:val="20"/>
          <w:szCs w:val="20"/>
        </w:rPr>
        <w:t>Bloom, Nicholas, Mirko Draca, and John Van Reenen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2016. "Trade induced technical change? The impact of Chinese imports on innovation, IT and productivity." </w:t>
      </w:r>
      <w:r w:rsidRPr="004031E7">
        <w:rPr>
          <w:rFonts w:ascii="Arial" w:hAnsi="Arial" w:cs="Arial"/>
          <w:iCs/>
          <w:color w:val="222222"/>
          <w:sz w:val="20"/>
          <w:szCs w:val="20"/>
        </w:rPr>
        <w:t>The Review of Economic Studies</w:t>
      </w:r>
      <w:r>
        <w:rPr>
          <w:rFonts w:ascii="Arial" w:hAnsi="Arial" w:cs="Arial"/>
          <w:color w:val="222222"/>
          <w:sz w:val="20"/>
          <w:szCs w:val="20"/>
        </w:rPr>
        <w:t xml:space="preserve"> 83.1</w:t>
      </w:r>
    </w:p>
    <w:p w:rsidR="00673E13" w:rsidRDefault="00673E13" w:rsidP="00673E13">
      <w:pPr>
        <w:rPr>
          <w:rFonts w:ascii="Arial" w:hAnsi="Arial" w:cs="Arial"/>
          <w:sz w:val="20"/>
          <w:szCs w:val="20"/>
        </w:rPr>
      </w:pPr>
      <w:r w:rsidRPr="00BD1A67">
        <w:rPr>
          <w:rFonts w:ascii="Arial" w:hAnsi="Arial" w:cs="Arial"/>
          <w:sz w:val="20"/>
          <w:szCs w:val="20"/>
        </w:rPr>
        <w:t>Syropoulos, C. 2002. Optimum tariffs and retaliation revisited: how country size matters. The Review of Economic Studies, 69(3), 707-727.</w:t>
      </w:r>
    </w:p>
    <w:p w:rsidR="00553851" w:rsidRDefault="00553851" w:rsidP="000231A7">
      <w:pPr>
        <w:rPr>
          <w:rFonts w:ascii="Arial" w:hAnsi="Arial" w:cs="Arial"/>
          <w:sz w:val="20"/>
          <w:szCs w:val="20"/>
        </w:rPr>
      </w:pPr>
    </w:p>
    <w:p w:rsidR="00781804" w:rsidRPr="00BE51B4" w:rsidRDefault="00781804" w:rsidP="00055E3F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Political Pressure and Trade Policy</w:t>
      </w:r>
      <w:r w:rsidR="00BE51B4">
        <w:rPr>
          <w:rFonts w:ascii="Arial" w:hAnsi="Arial" w:cs="Arial"/>
          <w:b/>
          <w:sz w:val="20"/>
          <w:szCs w:val="20"/>
        </w:rPr>
        <w:t xml:space="preserve"> </w:t>
      </w:r>
      <w:r w:rsidR="00BE51B4" w:rsidRPr="003D11BC">
        <w:rPr>
          <w:rFonts w:ascii="Arial" w:hAnsi="Arial" w:cs="Arial"/>
          <w:b/>
          <w:color w:val="A6A6A6" w:themeColor="background1" w:themeShade="A6"/>
          <w:sz w:val="20"/>
          <w:szCs w:val="20"/>
        </w:rPr>
        <w:t>[</w:t>
      </w:r>
      <w:r w:rsidR="00BE51B4">
        <w:rPr>
          <w:rFonts w:ascii="Arial" w:hAnsi="Arial" w:cs="Arial"/>
          <w:b/>
          <w:color w:val="A6A6A6" w:themeColor="background1" w:themeShade="A6"/>
          <w:sz w:val="20"/>
          <w:szCs w:val="20"/>
        </w:rPr>
        <w:t>T</w:t>
      </w:r>
      <w:r w:rsidR="00BE51B4" w:rsidRPr="003D11BC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rade </w:t>
      </w:r>
      <w:r w:rsidR="00BE51B4">
        <w:rPr>
          <w:rFonts w:ascii="Arial" w:hAnsi="Arial" w:cs="Arial"/>
          <w:b/>
          <w:color w:val="A6A6A6" w:themeColor="background1" w:themeShade="A6"/>
          <w:sz w:val="20"/>
          <w:szCs w:val="20"/>
        </w:rPr>
        <w:t>p</w:t>
      </w:r>
      <w:r w:rsidR="00BE51B4" w:rsidRPr="003D11BC">
        <w:rPr>
          <w:rFonts w:ascii="Arial" w:hAnsi="Arial" w:cs="Arial"/>
          <w:b/>
          <w:color w:val="A6A6A6" w:themeColor="background1" w:themeShade="A6"/>
          <w:sz w:val="20"/>
          <w:szCs w:val="20"/>
        </w:rPr>
        <w:t>olicy</w:t>
      </w:r>
      <w:r w:rsidR="00BE51B4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 with lobby groups</w:t>
      </w:r>
      <w:r w:rsidR="00BE51B4" w:rsidRPr="003D11BC">
        <w:rPr>
          <w:rFonts w:ascii="Arial" w:hAnsi="Arial" w:cs="Arial"/>
          <w:b/>
          <w:color w:val="A6A6A6" w:themeColor="background1" w:themeShade="A6"/>
          <w:sz w:val="20"/>
          <w:szCs w:val="20"/>
        </w:rPr>
        <w:t>]</w:t>
      </w:r>
    </w:p>
    <w:p w:rsidR="00781804" w:rsidRPr="00AD786B" w:rsidRDefault="00781804" w:rsidP="00781804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</w:p>
    <w:p w:rsidR="007152AE" w:rsidRDefault="007152AE" w:rsidP="00781804">
      <w:pPr>
        <w:rPr>
          <w:rFonts w:ascii="Arial" w:hAnsi="Arial" w:cs="Arial"/>
          <w:color w:val="222222"/>
          <w:sz w:val="20"/>
          <w:szCs w:val="20"/>
        </w:rPr>
      </w:pPr>
      <w:r w:rsidRPr="007152AE">
        <w:rPr>
          <w:rFonts w:ascii="Arial" w:hAnsi="Arial" w:cs="Arial"/>
          <w:color w:val="222222"/>
          <w:sz w:val="20"/>
          <w:szCs w:val="20"/>
        </w:rPr>
        <w:t>Grossman, Gene M., and Elhanan Helpman</w:t>
      </w:r>
      <w:r>
        <w:rPr>
          <w:rFonts w:ascii="Arial" w:hAnsi="Arial" w:cs="Arial"/>
          <w:color w:val="222222"/>
          <w:sz w:val="20"/>
          <w:szCs w:val="20"/>
        </w:rPr>
        <w:t>:</w:t>
      </w:r>
      <w:r w:rsidRPr="007152AE">
        <w:rPr>
          <w:rFonts w:ascii="Arial" w:hAnsi="Arial" w:cs="Arial"/>
          <w:color w:val="222222"/>
          <w:sz w:val="20"/>
          <w:szCs w:val="20"/>
        </w:rPr>
        <w:t xml:space="preserve"> "Protection for Sale." The American Economic Review 84.4 (1994): 833-850.</w:t>
      </w:r>
    </w:p>
    <w:p w:rsidR="007152AE" w:rsidRDefault="007152AE" w:rsidP="00781804">
      <w:pPr>
        <w:rPr>
          <w:rFonts w:ascii="Arial" w:hAnsi="Arial" w:cs="Arial"/>
          <w:color w:val="222222"/>
          <w:sz w:val="20"/>
          <w:szCs w:val="20"/>
        </w:rPr>
      </w:pPr>
      <w:r w:rsidRPr="007152AE">
        <w:rPr>
          <w:rFonts w:ascii="Arial" w:hAnsi="Arial" w:cs="Arial"/>
          <w:color w:val="222222"/>
          <w:sz w:val="20"/>
          <w:szCs w:val="20"/>
        </w:rPr>
        <w:t>Goldberg, Pinelopi Koujianou, and Giovanni Maggi. "Protection for sale: An empirical investigation." American Economic Review 89.5 (1999): 1135-1155.</w:t>
      </w:r>
    </w:p>
    <w:p w:rsidR="00F0125A" w:rsidRDefault="00F0125A" w:rsidP="00F0125A">
      <w:pPr>
        <w:rPr>
          <w:rFonts w:ascii="Arial" w:hAnsi="Arial" w:cs="Arial"/>
          <w:sz w:val="20"/>
          <w:szCs w:val="20"/>
        </w:rPr>
      </w:pPr>
      <w:r w:rsidRPr="00C24725">
        <w:rPr>
          <w:rFonts w:ascii="Arial" w:hAnsi="Arial" w:cs="Arial"/>
          <w:sz w:val="20"/>
          <w:szCs w:val="20"/>
        </w:rPr>
        <w:t>Lee, Jong-Wha, and Phillip Swagel. "Trade barriers and trade flows across countries and industries." Review of Economics and Statistics 79.3 (1997): 372-382.</w:t>
      </w:r>
    </w:p>
    <w:p w:rsidR="00781804" w:rsidRPr="00AD786B" w:rsidRDefault="00781804" w:rsidP="00781804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Optional readings</w:t>
      </w:r>
    </w:p>
    <w:p w:rsidR="00C0172F" w:rsidRDefault="00C0172F" w:rsidP="0081792B">
      <w:pPr>
        <w:rPr>
          <w:rFonts w:ascii="Arial" w:hAnsi="Arial" w:cs="Arial"/>
          <w:sz w:val="20"/>
          <w:szCs w:val="20"/>
        </w:rPr>
      </w:pPr>
      <w:r w:rsidRPr="00C0172F">
        <w:rPr>
          <w:rFonts w:ascii="Arial" w:hAnsi="Arial" w:cs="Arial"/>
          <w:sz w:val="20"/>
          <w:szCs w:val="20"/>
        </w:rPr>
        <w:t>McLaren, John. "The political economy of commercial policy." Handbook of Commercial Policy. Vol. 1. North-Holland, 2016. 109-159.</w:t>
      </w:r>
    </w:p>
    <w:p w:rsidR="00BD1A67" w:rsidRDefault="003A064A" w:rsidP="0081792B">
      <w:pPr>
        <w:rPr>
          <w:rFonts w:ascii="Arial" w:hAnsi="Arial" w:cs="Arial"/>
          <w:sz w:val="20"/>
          <w:szCs w:val="20"/>
        </w:rPr>
      </w:pPr>
      <w:r w:rsidRPr="003A064A">
        <w:rPr>
          <w:rFonts w:ascii="Arial" w:hAnsi="Arial" w:cs="Arial"/>
          <w:sz w:val="20"/>
          <w:szCs w:val="20"/>
        </w:rPr>
        <w:lastRenderedPageBreak/>
        <w:t>Gawande, Kishore, and Usree Bandyopadhyay</w:t>
      </w:r>
      <w:r w:rsidR="0006655D">
        <w:rPr>
          <w:rFonts w:ascii="Arial" w:hAnsi="Arial" w:cs="Arial"/>
          <w:sz w:val="20"/>
          <w:szCs w:val="20"/>
        </w:rPr>
        <w:t xml:space="preserve"> 2000</w:t>
      </w:r>
      <w:r w:rsidRPr="003A064A">
        <w:rPr>
          <w:rFonts w:ascii="Arial" w:hAnsi="Arial" w:cs="Arial"/>
          <w:sz w:val="20"/>
          <w:szCs w:val="20"/>
        </w:rPr>
        <w:t xml:space="preserve">. "Is protection for sale? Evidence on the Grossman-Helpman theory of endogenous protection." Review of Economics and </w:t>
      </w:r>
      <w:r w:rsidR="00553851">
        <w:rPr>
          <w:rFonts w:ascii="Arial" w:hAnsi="Arial" w:cs="Arial"/>
          <w:sz w:val="20"/>
          <w:szCs w:val="20"/>
        </w:rPr>
        <w:t>S</w:t>
      </w:r>
      <w:r w:rsidRPr="003A064A">
        <w:rPr>
          <w:rFonts w:ascii="Arial" w:hAnsi="Arial" w:cs="Arial"/>
          <w:sz w:val="20"/>
          <w:szCs w:val="20"/>
        </w:rPr>
        <w:t>statistics 82.1: 139-152.</w:t>
      </w:r>
    </w:p>
    <w:p w:rsidR="003A064A" w:rsidRDefault="003A064A" w:rsidP="0081792B">
      <w:pPr>
        <w:rPr>
          <w:rFonts w:ascii="Arial" w:hAnsi="Arial" w:cs="Arial"/>
          <w:sz w:val="20"/>
          <w:szCs w:val="20"/>
        </w:rPr>
      </w:pPr>
      <w:r w:rsidRPr="003A064A">
        <w:rPr>
          <w:rFonts w:ascii="Arial" w:hAnsi="Arial" w:cs="Arial"/>
          <w:sz w:val="20"/>
          <w:szCs w:val="20"/>
        </w:rPr>
        <w:t>Mitra, Devashish. "Endogenous lobby formation and endogenous protection: a long-run model of trade policy determination." American Economic Review 89.5 (1999): 1116-1134.</w:t>
      </w:r>
    </w:p>
    <w:p w:rsidR="00553851" w:rsidRDefault="00553851" w:rsidP="00B3753C">
      <w:pPr>
        <w:rPr>
          <w:rFonts w:ascii="Arial" w:hAnsi="Arial" w:cs="Arial"/>
          <w:sz w:val="20"/>
          <w:szCs w:val="20"/>
        </w:rPr>
      </w:pPr>
      <w:r w:rsidRPr="00553851">
        <w:rPr>
          <w:rFonts w:ascii="Arial" w:hAnsi="Arial" w:cs="Arial"/>
          <w:sz w:val="20"/>
          <w:szCs w:val="20"/>
        </w:rPr>
        <w:t>Imbs, J., &amp; Mejean, I. (2015). Elasticity optimism. American Economic Journal: Macroeconomics, 7(3), 43-83.</w:t>
      </w:r>
    </w:p>
    <w:p w:rsidR="00B3753C" w:rsidRDefault="00B3753C" w:rsidP="00B3753C">
      <w:pPr>
        <w:rPr>
          <w:rFonts w:ascii="Arial" w:hAnsi="Arial" w:cs="Arial"/>
          <w:sz w:val="20"/>
          <w:szCs w:val="20"/>
        </w:rPr>
      </w:pPr>
      <w:r w:rsidRPr="002261D6">
        <w:rPr>
          <w:rFonts w:ascii="Arial" w:hAnsi="Arial" w:cs="Arial"/>
          <w:sz w:val="20"/>
          <w:szCs w:val="20"/>
        </w:rPr>
        <w:t>Ossa, Ralph</w:t>
      </w:r>
      <w:r>
        <w:rPr>
          <w:rFonts w:ascii="Arial" w:hAnsi="Arial" w:cs="Arial"/>
          <w:sz w:val="20"/>
          <w:szCs w:val="20"/>
        </w:rPr>
        <w:t xml:space="preserve"> </w:t>
      </w:r>
      <w:r w:rsidRPr="002261D6">
        <w:rPr>
          <w:rFonts w:ascii="Arial" w:hAnsi="Arial" w:cs="Arial"/>
          <w:sz w:val="20"/>
          <w:szCs w:val="20"/>
        </w:rPr>
        <w:t>2011. "A “new trade” theory of GATT/WTO negotiations." Journal of Political Economy 119.1 122-152.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064A" w:rsidRDefault="00B3753C" w:rsidP="0081792B">
      <w:pPr>
        <w:rPr>
          <w:rFonts w:ascii="Arial" w:hAnsi="Arial" w:cs="Arial"/>
          <w:sz w:val="20"/>
          <w:szCs w:val="20"/>
        </w:rPr>
      </w:pPr>
      <w:r w:rsidRPr="00B3753C">
        <w:rPr>
          <w:rFonts w:ascii="Arial" w:hAnsi="Arial" w:cs="Arial"/>
          <w:sz w:val="20"/>
          <w:szCs w:val="20"/>
        </w:rPr>
        <w:t>Nicita, Alessandro, Marcelo Olarreaga, and Peri A. Silva.</w:t>
      </w:r>
      <w:r>
        <w:rPr>
          <w:rFonts w:ascii="Arial" w:hAnsi="Arial" w:cs="Arial"/>
          <w:sz w:val="20"/>
          <w:szCs w:val="20"/>
        </w:rPr>
        <w:t xml:space="preserve"> 2018</w:t>
      </w:r>
      <w:r w:rsidRPr="00B3753C">
        <w:rPr>
          <w:rFonts w:ascii="Arial" w:hAnsi="Arial" w:cs="Arial"/>
          <w:sz w:val="20"/>
          <w:szCs w:val="20"/>
        </w:rPr>
        <w:t xml:space="preserve"> "Cooperation in WTO's tariff waters."</w:t>
      </w:r>
      <w:r>
        <w:rPr>
          <w:rFonts w:ascii="Arial" w:hAnsi="Arial" w:cs="Arial"/>
          <w:sz w:val="20"/>
          <w:szCs w:val="20"/>
        </w:rPr>
        <w:t xml:space="preserve"> Journal of Political Economy</w:t>
      </w:r>
      <w:r w:rsidRPr="00B3753C">
        <w:rPr>
          <w:rFonts w:ascii="Arial" w:hAnsi="Arial" w:cs="Arial"/>
          <w:sz w:val="20"/>
          <w:szCs w:val="20"/>
        </w:rPr>
        <w:t>.</w:t>
      </w:r>
    </w:p>
    <w:p w:rsidR="006114F6" w:rsidRDefault="006114F6" w:rsidP="0081792B">
      <w:pPr>
        <w:rPr>
          <w:rFonts w:ascii="Arial" w:hAnsi="Arial" w:cs="Arial"/>
          <w:sz w:val="20"/>
          <w:szCs w:val="20"/>
        </w:rPr>
      </w:pPr>
    </w:p>
    <w:p w:rsidR="00ED0855" w:rsidRPr="004031E7" w:rsidRDefault="003A064A" w:rsidP="00055E3F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A064A">
        <w:rPr>
          <w:rFonts w:ascii="Arial" w:hAnsi="Arial" w:cs="Arial"/>
          <w:b/>
          <w:sz w:val="20"/>
          <w:szCs w:val="20"/>
        </w:rPr>
        <w:t>Trade Agreements</w:t>
      </w:r>
      <w:r w:rsidR="00753DC1">
        <w:rPr>
          <w:rFonts w:ascii="Arial" w:hAnsi="Arial" w:cs="Arial"/>
          <w:b/>
          <w:sz w:val="20"/>
          <w:szCs w:val="20"/>
        </w:rPr>
        <w:t xml:space="preserve"> </w:t>
      </w:r>
      <w:r w:rsidR="003F4D9C" w:rsidRPr="003F4D9C">
        <w:rPr>
          <w:rFonts w:ascii="Arial" w:hAnsi="Arial" w:cs="Arial"/>
          <w:b/>
          <w:color w:val="808080" w:themeColor="background1" w:themeShade="80"/>
          <w:sz w:val="20"/>
          <w:szCs w:val="20"/>
        </w:rPr>
        <w:t>[</w:t>
      </w:r>
      <w:r w:rsidR="00F13238">
        <w:rPr>
          <w:rFonts w:ascii="Arial" w:hAnsi="Arial" w:cs="Arial"/>
          <w:b/>
          <w:color w:val="808080" w:themeColor="background1" w:themeShade="80"/>
          <w:sz w:val="20"/>
          <w:szCs w:val="20"/>
        </w:rPr>
        <w:t>time permitting</w:t>
      </w:r>
      <w:r w:rsidR="003F4D9C" w:rsidRPr="003F4D9C">
        <w:rPr>
          <w:rFonts w:ascii="Arial" w:hAnsi="Arial" w:cs="Arial"/>
          <w:b/>
          <w:color w:val="808080" w:themeColor="background1" w:themeShade="80"/>
          <w:sz w:val="20"/>
          <w:szCs w:val="20"/>
        </w:rPr>
        <w:t>]</w:t>
      </w:r>
    </w:p>
    <w:p w:rsidR="00ED0855" w:rsidRPr="00AD786B" w:rsidRDefault="00ED0855" w:rsidP="00ED0855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Required readings</w:t>
      </w:r>
    </w:p>
    <w:p w:rsidR="00621387" w:rsidRDefault="00621387" w:rsidP="00621387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Feenstra, </w:t>
      </w:r>
      <w:r w:rsidR="00224D3D">
        <w:rPr>
          <w:rFonts w:ascii="Arial" w:hAnsi="Arial" w:cs="Arial"/>
          <w:color w:val="222222"/>
          <w:sz w:val="20"/>
          <w:szCs w:val="20"/>
        </w:rPr>
        <w:t xml:space="preserve">pp. </w:t>
      </w:r>
      <w:r>
        <w:rPr>
          <w:rFonts w:ascii="Arial" w:hAnsi="Arial" w:cs="Arial"/>
          <w:color w:val="222222"/>
          <w:sz w:val="20"/>
          <w:szCs w:val="20"/>
        </w:rPr>
        <w:t>311-317</w:t>
      </w:r>
    </w:p>
    <w:p w:rsidR="00D40E9E" w:rsidRDefault="00D40E9E" w:rsidP="00D40E9E">
      <w:pPr>
        <w:rPr>
          <w:rFonts w:ascii="Arial" w:hAnsi="Arial" w:cs="Arial"/>
          <w:color w:val="222222"/>
          <w:sz w:val="20"/>
          <w:szCs w:val="20"/>
        </w:rPr>
      </w:pPr>
      <w:r w:rsidRPr="003A064A">
        <w:rPr>
          <w:rFonts w:ascii="Arial" w:hAnsi="Arial" w:cs="Arial"/>
          <w:color w:val="222222"/>
          <w:sz w:val="20"/>
          <w:szCs w:val="20"/>
        </w:rPr>
        <w:t>Baier, Scott L., and Jeffrey H. Bergstrand</w:t>
      </w:r>
      <w:r w:rsidR="006D1962">
        <w:rPr>
          <w:rFonts w:ascii="Arial" w:hAnsi="Arial" w:cs="Arial"/>
          <w:color w:val="222222"/>
          <w:sz w:val="20"/>
          <w:szCs w:val="20"/>
        </w:rPr>
        <w:t xml:space="preserve"> </w:t>
      </w:r>
      <w:r w:rsidR="006D1962" w:rsidRPr="003A064A">
        <w:rPr>
          <w:rFonts w:ascii="Arial" w:hAnsi="Arial" w:cs="Arial"/>
          <w:color w:val="222222"/>
          <w:sz w:val="20"/>
          <w:szCs w:val="20"/>
        </w:rPr>
        <w:t>2007</w:t>
      </w:r>
      <w:r w:rsidRPr="003A064A">
        <w:rPr>
          <w:rFonts w:ascii="Arial" w:hAnsi="Arial" w:cs="Arial"/>
          <w:color w:val="222222"/>
          <w:sz w:val="20"/>
          <w:szCs w:val="20"/>
        </w:rPr>
        <w:t>. "Do free trade agreements actually increase members' international trade?." Journal o</w:t>
      </w:r>
      <w:r w:rsidR="006D1962">
        <w:rPr>
          <w:rFonts w:ascii="Arial" w:hAnsi="Arial" w:cs="Arial"/>
          <w:color w:val="222222"/>
          <w:sz w:val="20"/>
          <w:szCs w:val="20"/>
        </w:rPr>
        <w:t>f international Economics 71.1</w:t>
      </w:r>
      <w:r w:rsidRPr="003A064A">
        <w:rPr>
          <w:rFonts w:ascii="Arial" w:hAnsi="Arial" w:cs="Arial"/>
          <w:color w:val="222222"/>
          <w:sz w:val="20"/>
          <w:szCs w:val="20"/>
        </w:rPr>
        <w:t xml:space="preserve"> 72-95.</w:t>
      </w:r>
    </w:p>
    <w:p w:rsidR="00ED0855" w:rsidRPr="00AD786B" w:rsidRDefault="00ED0855" w:rsidP="00ED0855">
      <w:pPr>
        <w:rPr>
          <w:rFonts w:ascii="Arial" w:hAnsi="Arial" w:cs="Arial"/>
          <w:i/>
          <w:sz w:val="20"/>
          <w:szCs w:val="20"/>
        </w:rPr>
      </w:pPr>
      <w:r w:rsidRPr="00AD786B">
        <w:rPr>
          <w:rFonts w:ascii="Arial" w:hAnsi="Arial" w:cs="Arial"/>
          <w:i/>
          <w:sz w:val="20"/>
          <w:szCs w:val="20"/>
        </w:rPr>
        <w:t>Optional readings</w:t>
      </w:r>
    </w:p>
    <w:p w:rsidR="00D40E9E" w:rsidRPr="004031E7" w:rsidRDefault="00D40E9E" w:rsidP="00D40E9E">
      <w:pPr>
        <w:rPr>
          <w:rFonts w:ascii="Arial" w:hAnsi="Arial" w:cs="Arial"/>
          <w:color w:val="222222"/>
          <w:sz w:val="20"/>
          <w:szCs w:val="20"/>
        </w:rPr>
      </w:pPr>
      <w:r w:rsidRPr="004031E7">
        <w:rPr>
          <w:rFonts w:ascii="Arial" w:hAnsi="Arial" w:cs="Arial"/>
          <w:color w:val="222222"/>
          <w:sz w:val="20"/>
          <w:szCs w:val="20"/>
        </w:rPr>
        <w:t>Rose, Andrew K</w:t>
      </w:r>
      <w:r w:rsidR="008A772B">
        <w:rPr>
          <w:rFonts w:ascii="Arial" w:hAnsi="Arial" w:cs="Arial"/>
          <w:color w:val="222222"/>
          <w:sz w:val="20"/>
          <w:szCs w:val="20"/>
        </w:rPr>
        <w:t xml:space="preserve"> </w:t>
      </w:r>
      <w:r w:rsidR="008A772B" w:rsidRPr="004031E7">
        <w:rPr>
          <w:rFonts w:ascii="Arial" w:hAnsi="Arial" w:cs="Arial"/>
          <w:color w:val="222222"/>
          <w:sz w:val="20"/>
          <w:szCs w:val="20"/>
        </w:rPr>
        <w:t>2004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. "Do We Really Know That the WTO Increases Trade?." </w:t>
      </w:r>
      <w:r w:rsidRPr="004031E7">
        <w:rPr>
          <w:rFonts w:ascii="Arial" w:hAnsi="Arial" w:cs="Arial"/>
          <w:iCs/>
          <w:color w:val="222222"/>
          <w:sz w:val="20"/>
          <w:szCs w:val="20"/>
        </w:rPr>
        <w:t>American Economic Review</w:t>
      </w:r>
      <w:r w:rsidRPr="004031E7">
        <w:rPr>
          <w:rFonts w:ascii="Arial" w:hAnsi="Arial" w:cs="Arial"/>
          <w:color w:val="222222"/>
          <w:sz w:val="20"/>
          <w:szCs w:val="20"/>
        </w:rPr>
        <w:t xml:space="preserve"> 98-114.</w:t>
      </w:r>
    </w:p>
    <w:p w:rsidR="00ED0855" w:rsidRPr="005A5AEA" w:rsidRDefault="00ED0855" w:rsidP="00ED0855">
      <w:pPr>
        <w:rPr>
          <w:rFonts w:ascii="Arial" w:hAnsi="Arial" w:cs="Arial"/>
          <w:sz w:val="20"/>
          <w:szCs w:val="20"/>
        </w:rPr>
      </w:pPr>
      <w:r w:rsidRPr="005A5AEA">
        <w:rPr>
          <w:rFonts w:ascii="Arial" w:hAnsi="Arial" w:cs="Arial"/>
          <w:sz w:val="20"/>
          <w:szCs w:val="20"/>
        </w:rPr>
        <w:t>Tomz, Michael, Judith L. Goldstein, and Douglas Rivers</w:t>
      </w:r>
      <w:r w:rsidR="00C5364A">
        <w:rPr>
          <w:rFonts w:ascii="Arial" w:hAnsi="Arial" w:cs="Arial"/>
          <w:sz w:val="20"/>
          <w:szCs w:val="20"/>
        </w:rPr>
        <w:t xml:space="preserve"> </w:t>
      </w:r>
      <w:r w:rsidR="00C5364A" w:rsidRPr="005A5AEA">
        <w:rPr>
          <w:rFonts w:ascii="Arial" w:hAnsi="Arial" w:cs="Arial"/>
          <w:sz w:val="20"/>
          <w:szCs w:val="20"/>
        </w:rPr>
        <w:t>2007</w:t>
      </w:r>
      <w:r w:rsidRPr="005A5AEA">
        <w:rPr>
          <w:rFonts w:ascii="Arial" w:hAnsi="Arial" w:cs="Arial"/>
          <w:sz w:val="20"/>
          <w:szCs w:val="20"/>
        </w:rPr>
        <w:t xml:space="preserve">. "Do we really know that the WTO increases trade? Comment." </w:t>
      </w:r>
      <w:r w:rsidRPr="005A5AEA">
        <w:rPr>
          <w:rFonts w:ascii="Arial" w:hAnsi="Arial" w:cs="Arial"/>
          <w:iCs/>
          <w:sz w:val="20"/>
          <w:szCs w:val="20"/>
        </w:rPr>
        <w:t>The American Economic Review</w:t>
      </w:r>
      <w:r w:rsidR="00C5364A">
        <w:rPr>
          <w:rFonts w:ascii="Arial" w:hAnsi="Arial" w:cs="Arial"/>
          <w:sz w:val="20"/>
          <w:szCs w:val="20"/>
        </w:rPr>
        <w:t xml:space="preserve"> 97.5 </w:t>
      </w:r>
      <w:r w:rsidRPr="005A5AEA">
        <w:rPr>
          <w:rFonts w:ascii="Arial" w:hAnsi="Arial" w:cs="Arial"/>
          <w:sz w:val="20"/>
          <w:szCs w:val="20"/>
        </w:rPr>
        <w:t>2005-2018.</w:t>
      </w:r>
    </w:p>
    <w:p w:rsidR="00B147DF" w:rsidRPr="004031E7" w:rsidRDefault="00B147DF" w:rsidP="00B147DF">
      <w:pPr>
        <w:rPr>
          <w:rFonts w:ascii="Arial" w:hAnsi="Arial" w:cs="Arial"/>
          <w:color w:val="222222"/>
          <w:sz w:val="20"/>
          <w:szCs w:val="20"/>
        </w:rPr>
      </w:pPr>
      <w:r w:rsidRPr="009E5342">
        <w:rPr>
          <w:rFonts w:ascii="Arial" w:hAnsi="Arial" w:cs="Arial"/>
          <w:color w:val="222222"/>
          <w:sz w:val="20"/>
          <w:szCs w:val="20"/>
        </w:rPr>
        <w:t>Carrere, Céline</w:t>
      </w:r>
      <w:r>
        <w:rPr>
          <w:rFonts w:ascii="Arial" w:hAnsi="Arial" w:cs="Arial"/>
          <w:color w:val="222222"/>
          <w:sz w:val="20"/>
          <w:szCs w:val="20"/>
        </w:rPr>
        <w:t xml:space="preserve"> 2006</w:t>
      </w:r>
      <w:r w:rsidRPr="009E5342">
        <w:rPr>
          <w:rFonts w:ascii="Arial" w:hAnsi="Arial" w:cs="Arial"/>
          <w:color w:val="222222"/>
          <w:sz w:val="20"/>
          <w:szCs w:val="20"/>
        </w:rPr>
        <w:t>. "Revisiting the effects of regional trade agreements on trade flows with proper specification of the gravity model." European Economic Review 50.2 223-247.</w:t>
      </w:r>
    </w:p>
    <w:p w:rsidR="00C00CF6" w:rsidRPr="005A5AEA" w:rsidRDefault="00C00CF6" w:rsidP="00C00CF6">
      <w:pPr>
        <w:rPr>
          <w:rFonts w:ascii="Arial" w:hAnsi="Arial" w:cs="Arial"/>
          <w:sz w:val="20"/>
          <w:szCs w:val="20"/>
        </w:rPr>
      </w:pPr>
      <w:r w:rsidRPr="005A5AEA">
        <w:rPr>
          <w:rFonts w:ascii="Arial" w:hAnsi="Arial" w:cs="Arial"/>
          <w:sz w:val="20"/>
          <w:szCs w:val="20"/>
        </w:rPr>
        <w:t>Subramanian, Arvind, and Shang-Jin Wei</w:t>
      </w:r>
      <w:r w:rsidR="00092E01">
        <w:rPr>
          <w:rFonts w:ascii="Arial" w:hAnsi="Arial" w:cs="Arial"/>
          <w:sz w:val="20"/>
          <w:szCs w:val="20"/>
        </w:rPr>
        <w:t xml:space="preserve"> </w:t>
      </w:r>
      <w:r w:rsidR="00092E01" w:rsidRPr="005A5AEA">
        <w:rPr>
          <w:rFonts w:ascii="Arial" w:hAnsi="Arial" w:cs="Arial"/>
          <w:sz w:val="20"/>
          <w:szCs w:val="20"/>
        </w:rPr>
        <w:t>2007</w:t>
      </w:r>
      <w:r w:rsidRPr="005A5AEA">
        <w:rPr>
          <w:rFonts w:ascii="Arial" w:hAnsi="Arial" w:cs="Arial"/>
          <w:sz w:val="20"/>
          <w:szCs w:val="20"/>
        </w:rPr>
        <w:t xml:space="preserve">. "The WTO promotes trade, strongly but unevenly." </w:t>
      </w:r>
      <w:r w:rsidRPr="005A5AEA">
        <w:rPr>
          <w:rFonts w:ascii="Arial" w:hAnsi="Arial" w:cs="Arial"/>
          <w:iCs/>
          <w:sz w:val="20"/>
          <w:szCs w:val="20"/>
        </w:rPr>
        <w:t>Journal of International Economics</w:t>
      </w:r>
      <w:r w:rsidRPr="005A5AEA">
        <w:rPr>
          <w:rFonts w:ascii="Arial" w:hAnsi="Arial" w:cs="Arial"/>
          <w:sz w:val="20"/>
          <w:szCs w:val="20"/>
        </w:rPr>
        <w:t xml:space="preserve"> 72.1 151-175.</w:t>
      </w:r>
    </w:p>
    <w:p w:rsidR="000C685C" w:rsidRDefault="000D6CB4" w:rsidP="000C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Magee, Christopher </w:t>
      </w:r>
      <w:r w:rsidRPr="000C685C">
        <w:rPr>
          <w:rFonts w:ascii="Arial" w:hAnsi="Arial" w:cs="Arial"/>
          <w:sz w:val="20"/>
          <w:szCs w:val="20"/>
        </w:rPr>
        <w:t>2008</w:t>
      </w:r>
      <w:r w:rsidR="000C685C" w:rsidRPr="000C685C">
        <w:rPr>
          <w:rFonts w:ascii="Arial" w:hAnsi="Arial" w:cs="Arial"/>
          <w:sz w:val="20"/>
          <w:szCs w:val="20"/>
        </w:rPr>
        <w:t>. "New measures of trade creation and trade diversion." Journal o</w:t>
      </w:r>
      <w:r>
        <w:rPr>
          <w:rFonts w:ascii="Arial" w:hAnsi="Arial" w:cs="Arial"/>
          <w:sz w:val="20"/>
          <w:szCs w:val="20"/>
        </w:rPr>
        <w:t>f International Economics 75.2</w:t>
      </w:r>
      <w:r w:rsidR="000C685C" w:rsidRPr="000C685C">
        <w:rPr>
          <w:rFonts w:ascii="Arial" w:hAnsi="Arial" w:cs="Arial"/>
          <w:sz w:val="20"/>
          <w:szCs w:val="20"/>
        </w:rPr>
        <w:t xml:space="preserve"> 349-362. </w:t>
      </w:r>
    </w:p>
    <w:p w:rsidR="00F13238" w:rsidRDefault="00F13238" w:rsidP="00F13238">
      <w:pPr>
        <w:rPr>
          <w:rFonts w:ascii="Arial" w:hAnsi="Arial" w:cs="Arial"/>
          <w:color w:val="222222"/>
          <w:sz w:val="20"/>
          <w:szCs w:val="20"/>
        </w:rPr>
      </w:pPr>
      <w:r w:rsidRPr="00D40E9E">
        <w:rPr>
          <w:rFonts w:ascii="Arial" w:hAnsi="Arial" w:cs="Arial"/>
          <w:color w:val="222222"/>
          <w:sz w:val="20"/>
          <w:szCs w:val="20"/>
        </w:rPr>
        <w:t>Handley, Kyle, and Nuno Limão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D40E9E">
        <w:rPr>
          <w:rFonts w:ascii="Arial" w:hAnsi="Arial" w:cs="Arial"/>
          <w:color w:val="222222"/>
          <w:sz w:val="20"/>
          <w:szCs w:val="20"/>
        </w:rPr>
        <w:t>2013. Policy uncertainty, trade and welfare: theory and evidence for China and the US. No. w19376. Natio</w:t>
      </w:r>
      <w:r>
        <w:rPr>
          <w:rFonts w:ascii="Arial" w:hAnsi="Arial" w:cs="Arial"/>
          <w:color w:val="222222"/>
          <w:sz w:val="20"/>
          <w:szCs w:val="20"/>
        </w:rPr>
        <w:t>nal Bureau of Economic Research</w:t>
      </w:r>
    </w:p>
    <w:p w:rsidR="00C32C20" w:rsidRPr="00D11CD4" w:rsidRDefault="00C32C20" w:rsidP="00C32C20">
      <w:pPr>
        <w:rPr>
          <w:rFonts w:ascii="Arial" w:hAnsi="Arial" w:cs="Arial"/>
          <w:sz w:val="20"/>
          <w:szCs w:val="20"/>
        </w:rPr>
      </w:pPr>
      <w:r w:rsidRPr="00D11CD4">
        <w:rPr>
          <w:rFonts w:ascii="Arial" w:hAnsi="Arial" w:cs="Arial"/>
          <w:sz w:val="20"/>
          <w:szCs w:val="20"/>
        </w:rPr>
        <w:t>Bagwell, Kyle, and Robert W. Staiger</w:t>
      </w:r>
      <w:r w:rsidR="00553FEB">
        <w:rPr>
          <w:rFonts w:ascii="Arial" w:hAnsi="Arial" w:cs="Arial"/>
          <w:sz w:val="20"/>
          <w:szCs w:val="20"/>
        </w:rPr>
        <w:t xml:space="preserve"> </w:t>
      </w:r>
      <w:r w:rsidR="00553FEB" w:rsidRPr="00D11CD4">
        <w:rPr>
          <w:rFonts w:ascii="Arial" w:hAnsi="Arial" w:cs="Arial"/>
          <w:sz w:val="20"/>
          <w:szCs w:val="20"/>
        </w:rPr>
        <w:t>2001</w:t>
      </w:r>
      <w:r w:rsidRPr="00D11CD4">
        <w:rPr>
          <w:rFonts w:ascii="Arial" w:hAnsi="Arial" w:cs="Arial"/>
          <w:sz w:val="20"/>
          <w:szCs w:val="20"/>
        </w:rPr>
        <w:t>. "Domestic policies, national sovereignty, and international economic institutions." Quarte</w:t>
      </w:r>
      <w:r w:rsidR="00553FEB">
        <w:rPr>
          <w:rFonts w:ascii="Arial" w:hAnsi="Arial" w:cs="Arial"/>
          <w:sz w:val="20"/>
          <w:szCs w:val="20"/>
        </w:rPr>
        <w:t>rly Journal of Economics 116.2</w:t>
      </w:r>
      <w:r w:rsidRPr="00D11CD4">
        <w:rPr>
          <w:rFonts w:ascii="Arial" w:hAnsi="Arial" w:cs="Arial"/>
          <w:sz w:val="20"/>
          <w:szCs w:val="20"/>
        </w:rPr>
        <w:t xml:space="preserve"> 519-562.</w:t>
      </w:r>
    </w:p>
    <w:p w:rsidR="00F97854" w:rsidRPr="004031E7" w:rsidRDefault="00F97854" w:rsidP="00F97854">
      <w:pPr>
        <w:rPr>
          <w:rFonts w:ascii="Arial" w:hAnsi="Arial" w:cs="Arial"/>
          <w:sz w:val="20"/>
          <w:szCs w:val="20"/>
        </w:rPr>
      </w:pPr>
      <w:r w:rsidRPr="00D11CD4">
        <w:rPr>
          <w:rFonts w:ascii="Arial" w:hAnsi="Arial" w:cs="Arial"/>
          <w:sz w:val="20"/>
          <w:szCs w:val="20"/>
        </w:rPr>
        <w:t>Sauré, Philip</w:t>
      </w:r>
      <w:r w:rsidR="002D3803">
        <w:rPr>
          <w:rFonts w:ascii="Arial" w:hAnsi="Arial" w:cs="Arial"/>
          <w:sz w:val="20"/>
          <w:szCs w:val="20"/>
        </w:rPr>
        <w:t xml:space="preserve"> 2014</w:t>
      </w:r>
      <w:r w:rsidRPr="00D11CD4">
        <w:rPr>
          <w:rFonts w:ascii="Arial" w:hAnsi="Arial" w:cs="Arial"/>
          <w:sz w:val="20"/>
          <w:szCs w:val="20"/>
        </w:rPr>
        <w:t xml:space="preserve">. "Domestic policies </w:t>
      </w:r>
      <w:r w:rsidRPr="000B3550">
        <w:rPr>
          <w:rFonts w:ascii="Arial" w:hAnsi="Arial" w:cs="Arial"/>
          <w:sz w:val="20"/>
          <w:szCs w:val="20"/>
        </w:rPr>
        <w:t>in self-enforcing trade agreements." Euro</w:t>
      </w:r>
      <w:r w:rsidR="002D3803">
        <w:rPr>
          <w:rFonts w:ascii="Arial" w:hAnsi="Arial" w:cs="Arial"/>
          <w:sz w:val="20"/>
          <w:szCs w:val="20"/>
        </w:rPr>
        <w:t xml:space="preserve">pean Economic Review 68 </w:t>
      </w:r>
      <w:r w:rsidRPr="000B3550">
        <w:rPr>
          <w:rFonts w:ascii="Arial" w:hAnsi="Arial" w:cs="Arial"/>
          <w:sz w:val="20"/>
          <w:szCs w:val="20"/>
        </w:rPr>
        <w:t>19-30.</w:t>
      </w:r>
    </w:p>
    <w:p w:rsidR="00591B0F" w:rsidRDefault="00591B0F" w:rsidP="00C32C20">
      <w:pPr>
        <w:rPr>
          <w:rFonts w:ascii="Arial" w:hAnsi="Arial" w:cs="Arial"/>
          <w:sz w:val="20"/>
          <w:szCs w:val="20"/>
        </w:rPr>
      </w:pPr>
      <w:r w:rsidRPr="00591B0F">
        <w:rPr>
          <w:rFonts w:ascii="Arial" w:hAnsi="Arial" w:cs="Arial"/>
          <w:sz w:val="20"/>
          <w:szCs w:val="20"/>
        </w:rPr>
        <w:t>Yarbrough, Beth V., and Robert M. Yarbrough</w:t>
      </w:r>
      <w:r w:rsidR="00017F8C">
        <w:rPr>
          <w:rFonts w:ascii="Arial" w:hAnsi="Arial" w:cs="Arial"/>
          <w:sz w:val="20"/>
          <w:szCs w:val="20"/>
        </w:rPr>
        <w:t xml:space="preserve"> 1986</w:t>
      </w:r>
      <w:r w:rsidRPr="00591B0F">
        <w:rPr>
          <w:rFonts w:ascii="Arial" w:hAnsi="Arial" w:cs="Arial"/>
          <w:sz w:val="20"/>
          <w:szCs w:val="20"/>
        </w:rPr>
        <w:t>. "Reciprocity, bilateralism, and economic ‘hostages’: Self-enforcing agreements in international trade." International Studies Quarterly 30.1 7-21.</w:t>
      </w:r>
    </w:p>
    <w:p w:rsidR="00C32C20" w:rsidRPr="00D11CD4" w:rsidRDefault="00C32C20" w:rsidP="00C32C20">
      <w:pPr>
        <w:rPr>
          <w:rFonts w:ascii="Arial" w:hAnsi="Arial" w:cs="Arial"/>
          <w:sz w:val="20"/>
          <w:szCs w:val="20"/>
        </w:rPr>
      </w:pPr>
      <w:r w:rsidRPr="00D11CD4">
        <w:rPr>
          <w:rFonts w:ascii="Arial" w:hAnsi="Arial" w:cs="Arial"/>
          <w:sz w:val="20"/>
          <w:szCs w:val="20"/>
        </w:rPr>
        <w:t>Bagwell, Kyle, and Robert W. Staiger</w:t>
      </w:r>
      <w:r w:rsidR="000C01C7">
        <w:rPr>
          <w:rFonts w:ascii="Arial" w:hAnsi="Arial" w:cs="Arial"/>
          <w:sz w:val="20"/>
          <w:szCs w:val="20"/>
        </w:rPr>
        <w:t xml:space="preserve"> 2006</w:t>
      </w:r>
      <w:r w:rsidRPr="00D11CD4">
        <w:rPr>
          <w:rFonts w:ascii="Arial" w:hAnsi="Arial" w:cs="Arial"/>
          <w:sz w:val="20"/>
          <w:szCs w:val="20"/>
        </w:rPr>
        <w:t xml:space="preserve">. "Will international rules on subsidies disrupt the world trading system?." </w:t>
      </w:r>
      <w:r w:rsidRPr="00D11CD4">
        <w:rPr>
          <w:rFonts w:ascii="Arial" w:hAnsi="Arial" w:cs="Arial"/>
          <w:iCs/>
          <w:sz w:val="20"/>
          <w:szCs w:val="20"/>
        </w:rPr>
        <w:t>The American Economic Review</w:t>
      </w:r>
      <w:r w:rsidR="000C01C7">
        <w:rPr>
          <w:rFonts w:ascii="Arial" w:hAnsi="Arial" w:cs="Arial"/>
          <w:sz w:val="20"/>
          <w:szCs w:val="20"/>
        </w:rPr>
        <w:t xml:space="preserve"> 96.3 </w:t>
      </w:r>
      <w:r w:rsidRPr="00D11CD4">
        <w:rPr>
          <w:rFonts w:ascii="Arial" w:hAnsi="Arial" w:cs="Arial"/>
          <w:sz w:val="20"/>
          <w:szCs w:val="20"/>
        </w:rPr>
        <w:t>877-895.</w:t>
      </w:r>
    </w:p>
    <w:p w:rsidR="0081792B" w:rsidRDefault="0081792B" w:rsidP="0081792B">
      <w:pPr>
        <w:rPr>
          <w:rFonts w:ascii="Arial" w:hAnsi="Arial" w:cs="Arial"/>
          <w:sz w:val="20"/>
          <w:szCs w:val="20"/>
        </w:rPr>
      </w:pPr>
      <w:r w:rsidRPr="004F089C">
        <w:rPr>
          <w:rFonts w:ascii="Arial" w:hAnsi="Arial" w:cs="Arial"/>
          <w:sz w:val="20"/>
          <w:szCs w:val="20"/>
        </w:rPr>
        <w:lastRenderedPageBreak/>
        <w:t>Ederington, Josh</w:t>
      </w:r>
      <w:r w:rsidR="00B82D7D">
        <w:rPr>
          <w:rFonts w:ascii="Arial" w:hAnsi="Arial" w:cs="Arial"/>
          <w:sz w:val="20"/>
          <w:szCs w:val="20"/>
        </w:rPr>
        <w:t xml:space="preserve"> 2001</w:t>
      </w:r>
      <w:r w:rsidRPr="004F089C">
        <w:rPr>
          <w:rFonts w:ascii="Arial" w:hAnsi="Arial" w:cs="Arial"/>
          <w:sz w:val="20"/>
          <w:szCs w:val="20"/>
        </w:rPr>
        <w:t>. "International coordination of trade and domestic policies." The Americ</w:t>
      </w:r>
      <w:r w:rsidR="00B82D7D">
        <w:rPr>
          <w:rFonts w:ascii="Arial" w:hAnsi="Arial" w:cs="Arial"/>
          <w:sz w:val="20"/>
          <w:szCs w:val="20"/>
        </w:rPr>
        <w:t xml:space="preserve">an Economic Review 91.5 </w:t>
      </w:r>
      <w:r w:rsidRPr="004F089C">
        <w:rPr>
          <w:rFonts w:ascii="Arial" w:hAnsi="Arial" w:cs="Arial"/>
          <w:sz w:val="20"/>
          <w:szCs w:val="20"/>
        </w:rPr>
        <w:t>1580-1593.</w:t>
      </w:r>
    </w:p>
    <w:p w:rsidR="004653B0" w:rsidRPr="004031E7" w:rsidRDefault="004653B0" w:rsidP="004653B0">
      <w:pPr>
        <w:rPr>
          <w:rFonts w:ascii="Arial" w:hAnsi="Arial" w:cs="Arial"/>
          <w:color w:val="222222"/>
          <w:sz w:val="20"/>
          <w:szCs w:val="20"/>
        </w:rPr>
      </w:pPr>
      <w:r w:rsidRPr="00A31E06">
        <w:rPr>
          <w:rFonts w:ascii="Arial" w:hAnsi="Arial" w:cs="Arial"/>
          <w:color w:val="222222"/>
          <w:sz w:val="20"/>
          <w:szCs w:val="20"/>
        </w:rPr>
        <w:t>Brou, Daniel, and Michele Ruta</w:t>
      </w:r>
      <w:r w:rsidR="00461482">
        <w:rPr>
          <w:rFonts w:ascii="Arial" w:hAnsi="Arial" w:cs="Arial"/>
          <w:color w:val="222222"/>
          <w:sz w:val="20"/>
          <w:szCs w:val="20"/>
        </w:rPr>
        <w:t xml:space="preserve"> 2013</w:t>
      </w:r>
      <w:r w:rsidRPr="00A31E06">
        <w:rPr>
          <w:rFonts w:ascii="Arial" w:hAnsi="Arial" w:cs="Arial"/>
          <w:color w:val="222222"/>
          <w:sz w:val="20"/>
          <w:szCs w:val="20"/>
        </w:rPr>
        <w:t>. "A commitment theory of subsidy agreements." The BE Journal of Economic Analysis &amp; Policy 13.1 239-270.</w:t>
      </w:r>
    </w:p>
    <w:p w:rsidR="00C07279" w:rsidRDefault="00C07279" w:rsidP="0017599A">
      <w:pPr>
        <w:rPr>
          <w:rFonts w:ascii="Arial" w:hAnsi="Arial" w:cs="Arial"/>
          <w:sz w:val="20"/>
          <w:szCs w:val="20"/>
        </w:rPr>
      </w:pPr>
    </w:p>
    <w:sectPr w:rsidR="00C0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AF" w:rsidRDefault="007C23AF" w:rsidP="00B5546A">
      <w:pPr>
        <w:spacing w:after="0" w:line="240" w:lineRule="auto"/>
      </w:pPr>
      <w:r>
        <w:separator/>
      </w:r>
    </w:p>
  </w:endnote>
  <w:endnote w:type="continuationSeparator" w:id="0">
    <w:p w:rsidR="007C23AF" w:rsidRDefault="007C23AF" w:rsidP="00B5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AF" w:rsidRDefault="007C23AF" w:rsidP="00B5546A">
      <w:pPr>
        <w:spacing w:after="0" w:line="240" w:lineRule="auto"/>
      </w:pPr>
      <w:r>
        <w:separator/>
      </w:r>
    </w:p>
  </w:footnote>
  <w:footnote w:type="continuationSeparator" w:id="0">
    <w:p w:rsidR="007C23AF" w:rsidRDefault="007C23AF" w:rsidP="00B5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DD2"/>
    <w:multiLevelType w:val="hybridMultilevel"/>
    <w:tmpl w:val="1814147A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8E2"/>
    <w:multiLevelType w:val="hybridMultilevel"/>
    <w:tmpl w:val="64F6B65C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4D71"/>
    <w:multiLevelType w:val="hybridMultilevel"/>
    <w:tmpl w:val="D1728B52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F4C"/>
    <w:multiLevelType w:val="hybridMultilevel"/>
    <w:tmpl w:val="697C20EA"/>
    <w:lvl w:ilvl="0" w:tplc="446EB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5DA"/>
    <w:multiLevelType w:val="hybridMultilevel"/>
    <w:tmpl w:val="1EB2D20A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F3D29"/>
    <w:multiLevelType w:val="hybridMultilevel"/>
    <w:tmpl w:val="FE780CC4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20E8"/>
    <w:multiLevelType w:val="hybridMultilevel"/>
    <w:tmpl w:val="164A990A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0E76"/>
    <w:multiLevelType w:val="hybridMultilevel"/>
    <w:tmpl w:val="D1728B52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3658"/>
    <w:multiLevelType w:val="hybridMultilevel"/>
    <w:tmpl w:val="DE32D638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30578"/>
    <w:multiLevelType w:val="hybridMultilevel"/>
    <w:tmpl w:val="4536977C"/>
    <w:lvl w:ilvl="0" w:tplc="23C0C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413DC"/>
    <w:multiLevelType w:val="hybridMultilevel"/>
    <w:tmpl w:val="041A96D6"/>
    <w:lvl w:ilvl="0" w:tplc="446EBF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47"/>
    <w:rsid w:val="00004D0B"/>
    <w:rsid w:val="0000613F"/>
    <w:rsid w:val="00017F8C"/>
    <w:rsid w:val="000231A7"/>
    <w:rsid w:val="0002647F"/>
    <w:rsid w:val="00035C6C"/>
    <w:rsid w:val="00053656"/>
    <w:rsid w:val="00055E3F"/>
    <w:rsid w:val="00061E4C"/>
    <w:rsid w:val="0006655D"/>
    <w:rsid w:val="000716EB"/>
    <w:rsid w:val="00087061"/>
    <w:rsid w:val="00092E01"/>
    <w:rsid w:val="0009458A"/>
    <w:rsid w:val="00095C85"/>
    <w:rsid w:val="000A157E"/>
    <w:rsid w:val="000A5716"/>
    <w:rsid w:val="000A6535"/>
    <w:rsid w:val="000B2C3A"/>
    <w:rsid w:val="000B3550"/>
    <w:rsid w:val="000C01C7"/>
    <w:rsid w:val="000C251D"/>
    <w:rsid w:val="000C685C"/>
    <w:rsid w:val="000D6CB4"/>
    <w:rsid w:val="000D6F04"/>
    <w:rsid w:val="000D76BF"/>
    <w:rsid w:val="000E159E"/>
    <w:rsid w:val="000E5618"/>
    <w:rsid w:val="00100066"/>
    <w:rsid w:val="00105EB1"/>
    <w:rsid w:val="00114917"/>
    <w:rsid w:val="00115984"/>
    <w:rsid w:val="00125E38"/>
    <w:rsid w:val="00127253"/>
    <w:rsid w:val="00137460"/>
    <w:rsid w:val="0014697B"/>
    <w:rsid w:val="00155092"/>
    <w:rsid w:val="00155373"/>
    <w:rsid w:val="001638D0"/>
    <w:rsid w:val="00166D6F"/>
    <w:rsid w:val="00167F15"/>
    <w:rsid w:val="001746CD"/>
    <w:rsid w:val="0017599A"/>
    <w:rsid w:val="00175F2E"/>
    <w:rsid w:val="0018010E"/>
    <w:rsid w:val="00185229"/>
    <w:rsid w:val="00193E81"/>
    <w:rsid w:val="001A265C"/>
    <w:rsid w:val="001A26B2"/>
    <w:rsid w:val="001A381C"/>
    <w:rsid w:val="001B3F5E"/>
    <w:rsid w:val="001D23E7"/>
    <w:rsid w:val="001E5F3D"/>
    <w:rsid w:val="001F4AC0"/>
    <w:rsid w:val="001F5433"/>
    <w:rsid w:val="00202279"/>
    <w:rsid w:val="00212BBB"/>
    <w:rsid w:val="00213932"/>
    <w:rsid w:val="00221038"/>
    <w:rsid w:val="00224D3D"/>
    <w:rsid w:val="00225A52"/>
    <w:rsid w:val="002261D6"/>
    <w:rsid w:val="00232108"/>
    <w:rsid w:val="00236D08"/>
    <w:rsid w:val="00250B4B"/>
    <w:rsid w:val="00262804"/>
    <w:rsid w:val="0027616A"/>
    <w:rsid w:val="00283E5D"/>
    <w:rsid w:val="00290E71"/>
    <w:rsid w:val="00292B16"/>
    <w:rsid w:val="00292E49"/>
    <w:rsid w:val="002B6984"/>
    <w:rsid w:val="002B70B1"/>
    <w:rsid w:val="002C1D19"/>
    <w:rsid w:val="002C2B97"/>
    <w:rsid w:val="002C3ADD"/>
    <w:rsid w:val="002D207E"/>
    <w:rsid w:val="002D3803"/>
    <w:rsid w:val="002E185E"/>
    <w:rsid w:val="002F609E"/>
    <w:rsid w:val="002F6C9F"/>
    <w:rsid w:val="003029DE"/>
    <w:rsid w:val="003031A6"/>
    <w:rsid w:val="00310C02"/>
    <w:rsid w:val="003334B4"/>
    <w:rsid w:val="003465F2"/>
    <w:rsid w:val="0035043B"/>
    <w:rsid w:val="00364226"/>
    <w:rsid w:val="00382EBA"/>
    <w:rsid w:val="00392AA6"/>
    <w:rsid w:val="003A064A"/>
    <w:rsid w:val="003A266F"/>
    <w:rsid w:val="003A5FD4"/>
    <w:rsid w:val="003B0B72"/>
    <w:rsid w:val="003B1606"/>
    <w:rsid w:val="003C453B"/>
    <w:rsid w:val="003C4EAD"/>
    <w:rsid w:val="003D11BC"/>
    <w:rsid w:val="003E085E"/>
    <w:rsid w:val="003E561C"/>
    <w:rsid w:val="003F2FEF"/>
    <w:rsid w:val="003F4D9C"/>
    <w:rsid w:val="004031E7"/>
    <w:rsid w:val="00404325"/>
    <w:rsid w:val="00404AAB"/>
    <w:rsid w:val="004072E3"/>
    <w:rsid w:val="004128CA"/>
    <w:rsid w:val="00415148"/>
    <w:rsid w:val="004268DA"/>
    <w:rsid w:val="00430340"/>
    <w:rsid w:val="004372D8"/>
    <w:rsid w:val="00445264"/>
    <w:rsid w:val="00454637"/>
    <w:rsid w:val="00461482"/>
    <w:rsid w:val="004653B0"/>
    <w:rsid w:val="004A007B"/>
    <w:rsid w:val="004A242A"/>
    <w:rsid w:val="004A48FC"/>
    <w:rsid w:val="004B41C7"/>
    <w:rsid w:val="004C2A1D"/>
    <w:rsid w:val="004D61BA"/>
    <w:rsid w:val="004D7B2D"/>
    <w:rsid w:val="004E2C08"/>
    <w:rsid w:val="004E2D1A"/>
    <w:rsid w:val="004E7172"/>
    <w:rsid w:val="004F089C"/>
    <w:rsid w:val="004F3807"/>
    <w:rsid w:val="005054AF"/>
    <w:rsid w:val="00522F86"/>
    <w:rsid w:val="00527099"/>
    <w:rsid w:val="00530E0A"/>
    <w:rsid w:val="00530F90"/>
    <w:rsid w:val="005347D0"/>
    <w:rsid w:val="0054126F"/>
    <w:rsid w:val="00547D12"/>
    <w:rsid w:val="00553851"/>
    <w:rsid w:val="00553FEB"/>
    <w:rsid w:val="005557B8"/>
    <w:rsid w:val="00571A35"/>
    <w:rsid w:val="0057523B"/>
    <w:rsid w:val="0057658C"/>
    <w:rsid w:val="00582759"/>
    <w:rsid w:val="00585E01"/>
    <w:rsid w:val="00585EFE"/>
    <w:rsid w:val="0059040F"/>
    <w:rsid w:val="00591B0F"/>
    <w:rsid w:val="005950E9"/>
    <w:rsid w:val="005A529E"/>
    <w:rsid w:val="005A541C"/>
    <w:rsid w:val="005A5AEA"/>
    <w:rsid w:val="005C0A5D"/>
    <w:rsid w:val="005C1802"/>
    <w:rsid w:val="005C423B"/>
    <w:rsid w:val="005D7875"/>
    <w:rsid w:val="005E2A4C"/>
    <w:rsid w:val="005E764D"/>
    <w:rsid w:val="006049A0"/>
    <w:rsid w:val="006114F6"/>
    <w:rsid w:val="00621387"/>
    <w:rsid w:val="00626AC8"/>
    <w:rsid w:val="0064022E"/>
    <w:rsid w:val="006519FC"/>
    <w:rsid w:val="00654318"/>
    <w:rsid w:val="00673E13"/>
    <w:rsid w:val="006761E1"/>
    <w:rsid w:val="00693F3C"/>
    <w:rsid w:val="00696847"/>
    <w:rsid w:val="006A4F82"/>
    <w:rsid w:val="006A6368"/>
    <w:rsid w:val="006B6F39"/>
    <w:rsid w:val="006D1962"/>
    <w:rsid w:val="006E34C9"/>
    <w:rsid w:val="006E3BC5"/>
    <w:rsid w:val="006E3D69"/>
    <w:rsid w:val="006E461C"/>
    <w:rsid w:val="00702CF8"/>
    <w:rsid w:val="00703FA2"/>
    <w:rsid w:val="00711663"/>
    <w:rsid w:val="007152AE"/>
    <w:rsid w:val="00715AAF"/>
    <w:rsid w:val="007314F8"/>
    <w:rsid w:val="0074718E"/>
    <w:rsid w:val="00750183"/>
    <w:rsid w:val="00753AE0"/>
    <w:rsid w:val="00753DC1"/>
    <w:rsid w:val="0078118A"/>
    <w:rsid w:val="00781804"/>
    <w:rsid w:val="00794698"/>
    <w:rsid w:val="007B194F"/>
    <w:rsid w:val="007B6EBC"/>
    <w:rsid w:val="007C23AF"/>
    <w:rsid w:val="007C65B0"/>
    <w:rsid w:val="007D3DF0"/>
    <w:rsid w:val="007E40D3"/>
    <w:rsid w:val="00810B02"/>
    <w:rsid w:val="00814CEB"/>
    <w:rsid w:val="0081766A"/>
    <w:rsid w:val="0081792B"/>
    <w:rsid w:val="00827AA0"/>
    <w:rsid w:val="00830482"/>
    <w:rsid w:val="0083424E"/>
    <w:rsid w:val="008640A6"/>
    <w:rsid w:val="0087512A"/>
    <w:rsid w:val="008843DE"/>
    <w:rsid w:val="0088492D"/>
    <w:rsid w:val="0088689A"/>
    <w:rsid w:val="00890CF1"/>
    <w:rsid w:val="00892C22"/>
    <w:rsid w:val="00893E80"/>
    <w:rsid w:val="008A772B"/>
    <w:rsid w:val="008B5011"/>
    <w:rsid w:val="008C213B"/>
    <w:rsid w:val="008C2394"/>
    <w:rsid w:val="008C7347"/>
    <w:rsid w:val="008F6767"/>
    <w:rsid w:val="00903ED1"/>
    <w:rsid w:val="00912472"/>
    <w:rsid w:val="00924F83"/>
    <w:rsid w:val="00926AEC"/>
    <w:rsid w:val="00930F12"/>
    <w:rsid w:val="00932657"/>
    <w:rsid w:val="00935D7E"/>
    <w:rsid w:val="00936260"/>
    <w:rsid w:val="00945492"/>
    <w:rsid w:val="00976AF1"/>
    <w:rsid w:val="009813B5"/>
    <w:rsid w:val="00982D8A"/>
    <w:rsid w:val="00984C3B"/>
    <w:rsid w:val="009863C6"/>
    <w:rsid w:val="00991F72"/>
    <w:rsid w:val="00993B78"/>
    <w:rsid w:val="009A18A0"/>
    <w:rsid w:val="009A257E"/>
    <w:rsid w:val="009A3053"/>
    <w:rsid w:val="009A5068"/>
    <w:rsid w:val="009B55B9"/>
    <w:rsid w:val="009E0EED"/>
    <w:rsid w:val="009E2809"/>
    <w:rsid w:val="009E3650"/>
    <w:rsid w:val="009E3767"/>
    <w:rsid w:val="009E5342"/>
    <w:rsid w:val="009E5355"/>
    <w:rsid w:val="00A0123C"/>
    <w:rsid w:val="00A07295"/>
    <w:rsid w:val="00A1056B"/>
    <w:rsid w:val="00A10E81"/>
    <w:rsid w:val="00A1732B"/>
    <w:rsid w:val="00A31E06"/>
    <w:rsid w:val="00A409E1"/>
    <w:rsid w:val="00A426A3"/>
    <w:rsid w:val="00A433AD"/>
    <w:rsid w:val="00A4487E"/>
    <w:rsid w:val="00A4787A"/>
    <w:rsid w:val="00A60636"/>
    <w:rsid w:val="00A77684"/>
    <w:rsid w:val="00A84332"/>
    <w:rsid w:val="00A8664B"/>
    <w:rsid w:val="00A91AB1"/>
    <w:rsid w:val="00AA2FF8"/>
    <w:rsid w:val="00AA35B4"/>
    <w:rsid w:val="00AA6157"/>
    <w:rsid w:val="00AB48CB"/>
    <w:rsid w:val="00AC4CFA"/>
    <w:rsid w:val="00AD06DC"/>
    <w:rsid w:val="00AD786B"/>
    <w:rsid w:val="00AE34E9"/>
    <w:rsid w:val="00AE4A2D"/>
    <w:rsid w:val="00AF2351"/>
    <w:rsid w:val="00AF3BBC"/>
    <w:rsid w:val="00AF53CA"/>
    <w:rsid w:val="00B03CA1"/>
    <w:rsid w:val="00B138EC"/>
    <w:rsid w:val="00B147DF"/>
    <w:rsid w:val="00B20C7B"/>
    <w:rsid w:val="00B302C6"/>
    <w:rsid w:val="00B362A1"/>
    <w:rsid w:val="00B3753C"/>
    <w:rsid w:val="00B46CD6"/>
    <w:rsid w:val="00B50D53"/>
    <w:rsid w:val="00B5546A"/>
    <w:rsid w:val="00B65593"/>
    <w:rsid w:val="00B6617F"/>
    <w:rsid w:val="00B77FB8"/>
    <w:rsid w:val="00B804F3"/>
    <w:rsid w:val="00B82706"/>
    <w:rsid w:val="00B82D7D"/>
    <w:rsid w:val="00B84BF4"/>
    <w:rsid w:val="00B90165"/>
    <w:rsid w:val="00BA5B70"/>
    <w:rsid w:val="00BB2ADE"/>
    <w:rsid w:val="00BB34C2"/>
    <w:rsid w:val="00BB5291"/>
    <w:rsid w:val="00BB76EF"/>
    <w:rsid w:val="00BC4052"/>
    <w:rsid w:val="00BD0FCD"/>
    <w:rsid w:val="00BD1A67"/>
    <w:rsid w:val="00BE20DA"/>
    <w:rsid w:val="00BE51B4"/>
    <w:rsid w:val="00BE5CB5"/>
    <w:rsid w:val="00BF5290"/>
    <w:rsid w:val="00BF6AAD"/>
    <w:rsid w:val="00BF6B17"/>
    <w:rsid w:val="00C00CF6"/>
    <w:rsid w:val="00C0172F"/>
    <w:rsid w:val="00C0484D"/>
    <w:rsid w:val="00C06D79"/>
    <w:rsid w:val="00C07072"/>
    <w:rsid w:val="00C07279"/>
    <w:rsid w:val="00C24725"/>
    <w:rsid w:val="00C30F36"/>
    <w:rsid w:val="00C31424"/>
    <w:rsid w:val="00C32C20"/>
    <w:rsid w:val="00C339B7"/>
    <w:rsid w:val="00C34B85"/>
    <w:rsid w:val="00C369E9"/>
    <w:rsid w:val="00C4617D"/>
    <w:rsid w:val="00C4719C"/>
    <w:rsid w:val="00C5364A"/>
    <w:rsid w:val="00C64BF1"/>
    <w:rsid w:val="00C801AD"/>
    <w:rsid w:val="00C82F54"/>
    <w:rsid w:val="00C834D6"/>
    <w:rsid w:val="00C84646"/>
    <w:rsid w:val="00C91CB8"/>
    <w:rsid w:val="00CB2CF5"/>
    <w:rsid w:val="00CB7DCE"/>
    <w:rsid w:val="00CC2966"/>
    <w:rsid w:val="00CC501B"/>
    <w:rsid w:val="00CC6401"/>
    <w:rsid w:val="00CD6CC1"/>
    <w:rsid w:val="00CD7326"/>
    <w:rsid w:val="00CF4266"/>
    <w:rsid w:val="00CF65B1"/>
    <w:rsid w:val="00CF6F6C"/>
    <w:rsid w:val="00D111DC"/>
    <w:rsid w:val="00D11CD4"/>
    <w:rsid w:val="00D236A7"/>
    <w:rsid w:val="00D27E42"/>
    <w:rsid w:val="00D40E9E"/>
    <w:rsid w:val="00D4254F"/>
    <w:rsid w:val="00D46A90"/>
    <w:rsid w:val="00D47783"/>
    <w:rsid w:val="00D50912"/>
    <w:rsid w:val="00D705DC"/>
    <w:rsid w:val="00D7692B"/>
    <w:rsid w:val="00D76971"/>
    <w:rsid w:val="00D87E05"/>
    <w:rsid w:val="00D918B8"/>
    <w:rsid w:val="00D91A63"/>
    <w:rsid w:val="00D931F0"/>
    <w:rsid w:val="00D942EA"/>
    <w:rsid w:val="00D94624"/>
    <w:rsid w:val="00D960BB"/>
    <w:rsid w:val="00DA2166"/>
    <w:rsid w:val="00DA349E"/>
    <w:rsid w:val="00DA42A5"/>
    <w:rsid w:val="00DB0ED7"/>
    <w:rsid w:val="00DB186E"/>
    <w:rsid w:val="00DB1A0F"/>
    <w:rsid w:val="00DB5AA4"/>
    <w:rsid w:val="00DE2144"/>
    <w:rsid w:val="00E04118"/>
    <w:rsid w:val="00E148A2"/>
    <w:rsid w:val="00E16461"/>
    <w:rsid w:val="00E17593"/>
    <w:rsid w:val="00E2257B"/>
    <w:rsid w:val="00E25816"/>
    <w:rsid w:val="00E32495"/>
    <w:rsid w:val="00E339FD"/>
    <w:rsid w:val="00E564E9"/>
    <w:rsid w:val="00E67A6E"/>
    <w:rsid w:val="00EA2742"/>
    <w:rsid w:val="00EA37EC"/>
    <w:rsid w:val="00EB3560"/>
    <w:rsid w:val="00ED0026"/>
    <w:rsid w:val="00ED0855"/>
    <w:rsid w:val="00ED6A79"/>
    <w:rsid w:val="00EE5A9E"/>
    <w:rsid w:val="00F002B6"/>
    <w:rsid w:val="00F0125A"/>
    <w:rsid w:val="00F04FFA"/>
    <w:rsid w:val="00F13238"/>
    <w:rsid w:val="00F14854"/>
    <w:rsid w:val="00F27723"/>
    <w:rsid w:val="00F31A31"/>
    <w:rsid w:val="00F42999"/>
    <w:rsid w:val="00F7009A"/>
    <w:rsid w:val="00F84B23"/>
    <w:rsid w:val="00F85678"/>
    <w:rsid w:val="00F97854"/>
    <w:rsid w:val="00FA22DA"/>
    <w:rsid w:val="00FB2F51"/>
    <w:rsid w:val="00FD01B4"/>
    <w:rsid w:val="00FE1D9B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CC87"/>
  <w15:chartTrackingRefBased/>
  <w15:docId w15:val="{63B9C7FE-C3D9-4640-A742-F5705C05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5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6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6847"/>
    <w:rPr>
      <w:rFonts w:ascii="Courier New" w:eastAsia="Times New Roman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546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546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546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5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554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01B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01B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A2A2A2"/>
                    <w:bottom w:val="none" w:sz="0" w:space="0" w:color="auto"/>
                    <w:right w:val="none" w:sz="0" w:space="0" w:color="auto"/>
                  </w:divBdr>
                  <w:divsChild>
                    <w:div w:id="11490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Sauré</dc:creator>
  <cp:keywords/>
  <dc:description/>
  <cp:lastModifiedBy>Bernardi, Silke</cp:lastModifiedBy>
  <cp:revision>226</cp:revision>
  <dcterms:created xsi:type="dcterms:W3CDTF">2018-02-19T08:06:00Z</dcterms:created>
  <dcterms:modified xsi:type="dcterms:W3CDTF">2020-03-03T12:26:00Z</dcterms:modified>
</cp:coreProperties>
</file>