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6A" w:rsidRPr="00E87523" w:rsidRDefault="00B5546A" w:rsidP="00B5546A">
      <w:pPr>
        <w:pStyle w:val="berschrift1"/>
      </w:pPr>
      <w:r w:rsidRPr="00E87523">
        <w:t xml:space="preserve">Syllabus: </w:t>
      </w:r>
      <w:r w:rsidR="00EC2BB3" w:rsidRPr="00E87523">
        <w:t>Financial Economics I</w:t>
      </w:r>
      <w:r w:rsidRPr="00E87523">
        <w:t xml:space="preserve"> </w:t>
      </w:r>
      <w:r w:rsidR="00E87523" w:rsidRPr="00E87523">
        <w:t>– International Financial Markets</w:t>
      </w:r>
    </w:p>
    <w:p w:rsidR="00B5546A" w:rsidRPr="00E87523" w:rsidRDefault="00B5546A">
      <w:pPr>
        <w:rPr>
          <w:sz w:val="4"/>
          <w:szCs w:val="4"/>
        </w:rPr>
      </w:pPr>
    </w:p>
    <w:p w:rsidR="00A4487E" w:rsidRPr="00C30F36" w:rsidRDefault="00221038">
      <w:pPr>
        <w:rPr>
          <w:rFonts w:ascii="Arial" w:hAnsi="Arial" w:cs="Arial"/>
          <w:sz w:val="20"/>
          <w:szCs w:val="20"/>
        </w:rPr>
      </w:pPr>
      <w:r w:rsidRPr="00C30F36">
        <w:rPr>
          <w:rFonts w:ascii="Arial" w:hAnsi="Arial" w:cs="Arial"/>
          <w:sz w:val="20"/>
          <w:szCs w:val="20"/>
        </w:rPr>
        <w:t>Spring term 20</w:t>
      </w:r>
      <w:r w:rsidR="00E87523">
        <w:rPr>
          <w:rFonts w:ascii="Arial" w:hAnsi="Arial" w:cs="Arial"/>
          <w:sz w:val="20"/>
          <w:szCs w:val="20"/>
        </w:rPr>
        <w:t>20</w:t>
      </w:r>
      <w:r w:rsidR="0025440C">
        <w:rPr>
          <w:rFonts w:ascii="Arial" w:hAnsi="Arial" w:cs="Arial"/>
          <w:sz w:val="20"/>
          <w:szCs w:val="20"/>
        </w:rPr>
        <w:t xml:space="preserve"> – subject to slight changes</w:t>
      </w:r>
    </w:p>
    <w:p w:rsidR="00221038" w:rsidRPr="00C30F36" w:rsidRDefault="00221038">
      <w:pPr>
        <w:rPr>
          <w:rFonts w:ascii="Arial" w:hAnsi="Arial" w:cs="Arial"/>
          <w:sz w:val="20"/>
          <w:szCs w:val="20"/>
        </w:rPr>
      </w:pPr>
    </w:p>
    <w:p w:rsidR="00310C02" w:rsidRDefault="00DE2144" w:rsidP="00310C02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Lecture</w:t>
      </w:r>
      <w:r w:rsidR="00310C02">
        <w:rPr>
          <w:rFonts w:ascii="Arial" w:hAnsi="Arial" w:cs="Arial"/>
          <w:color w:val="A6A6A6" w:themeColor="background1" w:themeShade="A6"/>
          <w:sz w:val="20"/>
          <w:szCs w:val="20"/>
        </w:rPr>
        <w:t xml:space="preserve">: </w:t>
      </w:r>
      <w:r w:rsidR="00310C02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Prof. Dr. Philip Sauré </w:t>
      </w:r>
    </w:p>
    <w:p w:rsidR="00C4617D" w:rsidRDefault="00127253" w:rsidP="00127253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Time: </w:t>
      </w:r>
      <w:r w:rsidR="00701822">
        <w:rPr>
          <w:rFonts w:ascii="Arial" w:hAnsi="Arial" w:cs="Arial"/>
          <w:color w:val="A6A6A6" w:themeColor="background1" w:themeShade="A6"/>
          <w:sz w:val="20"/>
          <w:szCs w:val="20"/>
        </w:rPr>
        <w:t>Monday, 10:15 – 11:45 am</w:t>
      </w:r>
    </w:p>
    <w:p w:rsidR="00127253" w:rsidRPr="006E3BC5" w:rsidRDefault="006E3BC5" w:rsidP="006E3BC5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Room: </w:t>
      </w:r>
      <w:r w:rsidR="00701822" w:rsidRPr="00701822">
        <w:rPr>
          <w:rFonts w:ascii="Arial" w:hAnsi="Arial" w:cs="Arial"/>
          <w:color w:val="A6A6A6" w:themeColor="background1" w:themeShade="A6"/>
          <w:sz w:val="20"/>
          <w:szCs w:val="20"/>
        </w:rPr>
        <w:tab/>
        <w:t>00 135 RW 2</w:t>
      </w:r>
    </w:p>
    <w:p w:rsidR="00127253" w:rsidRDefault="00310C02" w:rsidP="009B41D3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>Tutorial</w:t>
      </w:r>
      <w:r w:rsidR="002F6CF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1</w:t>
      </w:r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E87523">
        <w:rPr>
          <w:rFonts w:ascii="Arial" w:hAnsi="Arial" w:cs="Arial"/>
          <w:color w:val="A6A6A6" w:themeColor="background1" w:themeShade="A6"/>
          <w:sz w:val="20"/>
          <w:szCs w:val="20"/>
        </w:rPr>
        <w:t>Leandro Navarro</w:t>
      </w:r>
    </w:p>
    <w:p w:rsidR="004A0AEE" w:rsidRDefault="004A0AEE" w:rsidP="004A0AEE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Time: </w:t>
      </w:r>
      <w:r w:rsidR="00701822">
        <w:rPr>
          <w:rFonts w:ascii="Arial" w:hAnsi="Arial" w:cs="Arial"/>
          <w:color w:val="A6A6A6" w:themeColor="background1" w:themeShade="A6"/>
          <w:sz w:val="20"/>
          <w:szCs w:val="20"/>
        </w:rPr>
        <w:t>Tuesday, 4:15 – 5:45 pm</w:t>
      </w:r>
    </w:p>
    <w:p w:rsidR="009B41D3" w:rsidRDefault="004A0AEE" w:rsidP="00701822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Room: </w:t>
      </w:r>
      <w:r w:rsidR="00701822" w:rsidRPr="00701822">
        <w:rPr>
          <w:rFonts w:ascii="Arial" w:hAnsi="Arial" w:cs="Arial"/>
          <w:color w:val="A6A6A6" w:themeColor="background1" w:themeShade="A6"/>
          <w:sz w:val="20"/>
          <w:szCs w:val="20"/>
        </w:rPr>
        <w:tab/>
        <w:t>01 171 HS 21</w:t>
      </w:r>
    </w:p>
    <w:p w:rsidR="00701822" w:rsidRDefault="00701822" w:rsidP="00701822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617D" w:rsidRDefault="002457E8" w:rsidP="00450148">
      <w:pPr>
        <w:rPr>
          <w:rFonts w:ascii="Arial" w:hAnsi="Arial" w:cs="Arial"/>
          <w:sz w:val="20"/>
          <w:szCs w:val="20"/>
        </w:rPr>
      </w:pPr>
      <w:r w:rsidRPr="002457E8">
        <w:rPr>
          <w:rFonts w:ascii="Arial" w:hAnsi="Arial" w:cs="Arial"/>
          <w:sz w:val="20"/>
          <w:szCs w:val="20"/>
        </w:rPr>
        <w:t>The first part of this course reviews the principles of international risk sharing through asset tra</w:t>
      </w:r>
      <w:r w:rsidR="00120323">
        <w:rPr>
          <w:rFonts w:ascii="Arial" w:hAnsi="Arial" w:cs="Arial"/>
          <w:sz w:val="20"/>
          <w:szCs w:val="20"/>
        </w:rPr>
        <w:t xml:space="preserve">de. </w:t>
      </w:r>
      <w:r w:rsidR="002F72B9">
        <w:rPr>
          <w:rFonts w:ascii="Arial" w:hAnsi="Arial" w:cs="Arial"/>
          <w:sz w:val="20"/>
          <w:szCs w:val="20"/>
        </w:rPr>
        <w:t xml:space="preserve">We </w:t>
      </w:r>
      <w:r w:rsidR="00B54CB4">
        <w:rPr>
          <w:rFonts w:ascii="Arial" w:hAnsi="Arial" w:cs="Arial"/>
          <w:sz w:val="20"/>
          <w:szCs w:val="20"/>
        </w:rPr>
        <w:t xml:space="preserve">initially </w:t>
      </w:r>
      <w:r w:rsidR="002F72B9">
        <w:rPr>
          <w:rFonts w:ascii="Arial" w:hAnsi="Arial" w:cs="Arial"/>
          <w:sz w:val="20"/>
          <w:szCs w:val="20"/>
        </w:rPr>
        <w:t xml:space="preserve">develop and study the core theories topics </w:t>
      </w:r>
      <w:r w:rsidR="00450148">
        <w:rPr>
          <w:rFonts w:ascii="Arial" w:hAnsi="Arial" w:cs="Arial"/>
          <w:sz w:val="20"/>
          <w:szCs w:val="20"/>
        </w:rPr>
        <w:t>under</w:t>
      </w:r>
      <w:r w:rsidR="00B54CB4">
        <w:rPr>
          <w:rFonts w:ascii="Arial" w:hAnsi="Arial" w:cs="Arial"/>
          <w:sz w:val="20"/>
          <w:szCs w:val="20"/>
        </w:rPr>
        <w:t xml:space="preserve"> complete </w:t>
      </w:r>
      <w:r w:rsidR="00450148">
        <w:rPr>
          <w:rFonts w:ascii="Arial" w:hAnsi="Arial" w:cs="Arial"/>
          <w:sz w:val="20"/>
          <w:szCs w:val="20"/>
        </w:rPr>
        <w:t xml:space="preserve">markets and </w:t>
      </w:r>
      <w:r w:rsidR="00B54CB4">
        <w:rPr>
          <w:rFonts w:ascii="Arial" w:hAnsi="Arial" w:cs="Arial"/>
          <w:sz w:val="20"/>
          <w:szCs w:val="20"/>
        </w:rPr>
        <w:t>subsequently discuss the predictions</w:t>
      </w:r>
      <w:r w:rsidRPr="002457E8">
        <w:rPr>
          <w:rFonts w:ascii="Arial" w:hAnsi="Arial" w:cs="Arial"/>
          <w:sz w:val="20"/>
          <w:szCs w:val="20"/>
        </w:rPr>
        <w:t xml:space="preserve"> in view of empirical regularities. </w:t>
      </w:r>
      <w:r w:rsidR="006A5BD4">
        <w:rPr>
          <w:rFonts w:ascii="Arial" w:hAnsi="Arial" w:cs="Arial"/>
          <w:sz w:val="20"/>
          <w:szCs w:val="20"/>
        </w:rPr>
        <w:t>S</w:t>
      </w:r>
      <w:r w:rsidRPr="002457E8">
        <w:rPr>
          <w:rFonts w:ascii="Arial" w:hAnsi="Arial" w:cs="Arial"/>
          <w:sz w:val="20"/>
          <w:szCs w:val="20"/>
        </w:rPr>
        <w:t xml:space="preserve">tudents </w:t>
      </w:r>
      <w:r w:rsidR="00C2485F">
        <w:rPr>
          <w:rFonts w:ascii="Arial" w:hAnsi="Arial" w:cs="Arial"/>
          <w:sz w:val="20"/>
          <w:szCs w:val="20"/>
        </w:rPr>
        <w:t>deepen their knowledge of</w:t>
      </w:r>
      <w:r w:rsidRPr="002457E8">
        <w:rPr>
          <w:rFonts w:ascii="Arial" w:hAnsi="Arial" w:cs="Arial"/>
          <w:sz w:val="20"/>
          <w:szCs w:val="20"/>
        </w:rPr>
        <w:t xml:space="preserve"> </w:t>
      </w:r>
      <w:r w:rsidR="0022314E">
        <w:rPr>
          <w:rFonts w:ascii="Arial" w:hAnsi="Arial" w:cs="Arial"/>
          <w:sz w:val="20"/>
          <w:szCs w:val="20"/>
        </w:rPr>
        <w:t>standard</w:t>
      </w:r>
      <w:r w:rsidRPr="002457E8">
        <w:rPr>
          <w:rFonts w:ascii="Arial" w:hAnsi="Arial" w:cs="Arial"/>
          <w:sz w:val="20"/>
          <w:szCs w:val="20"/>
        </w:rPr>
        <w:t xml:space="preserve"> tools of </w:t>
      </w:r>
      <w:r w:rsidR="00167F29">
        <w:rPr>
          <w:rFonts w:ascii="Arial" w:hAnsi="Arial" w:cs="Arial"/>
          <w:sz w:val="20"/>
          <w:szCs w:val="20"/>
        </w:rPr>
        <w:t xml:space="preserve">economic modelling and </w:t>
      </w:r>
      <w:r w:rsidRPr="002457E8">
        <w:rPr>
          <w:rFonts w:ascii="Arial" w:hAnsi="Arial" w:cs="Arial"/>
          <w:sz w:val="20"/>
          <w:szCs w:val="20"/>
        </w:rPr>
        <w:t xml:space="preserve">analysis. The second part then turns to a specific form of asset market </w:t>
      </w:r>
      <w:r>
        <w:rPr>
          <w:rFonts w:ascii="Arial" w:hAnsi="Arial" w:cs="Arial"/>
          <w:sz w:val="20"/>
          <w:szCs w:val="20"/>
        </w:rPr>
        <w:t>imperfection</w:t>
      </w:r>
      <w:r w:rsidRPr="002457E8">
        <w:rPr>
          <w:rFonts w:ascii="Arial" w:hAnsi="Arial" w:cs="Arial"/>
          <w:sz w:val="20"/>
          <w:szCs w:val="20"/>
        </w:rPr>
        <w:t>: limited enforcement of debt contracts</w:t>
      </w:r>
      <w:r w:rsidR="00881624">
        <w:rPr>
          <w:rFonts w:ascii="Arial" w:hAnsi="Arial" w:cs="Arial"/>
          <w:sz w:val="20"/>
          <w:szCs w:val="20"/>
        </w:rPr>
        <w:t xml:space="preserve">, especially </w:t>
      </w:r>
      <w:r w:rsidRPr="002457E8">
        <w:rPr>
          <w:rFonts w:ascii="Arial" w:hAnsi="Arial" w:cs="Arial"/>
          <w:sz w:val="20"/>
          <w:szCs w:val="20"/>
        </w:rPr>
        <w:t xml:space="preserve">contracts of </w:t>
      </w:r>
      <w:r w:rsidR="005A238C">
        <w:rPr>
          <w:rFonts w:ascii="Arial" w:hAnsi="Arial" w:cs="Arial"/>
          <w:sz w:val="20"/>
          <w:szCs w:val="20"/>
        </w:rPr>
        <w:t>sovereign</w:t>
      </w:r>
      <w:r w:rsidR="005A238C" w:rsidRPr="005A238C">
        <w:rPr>
          <w:rFonts w:ascii="Arial" w:hAnsi="Arial" w:cs="Arial"/>
          <w:sz w:val="20"/>
          <w:szCs w:val="20"/>
        </w:rPr>
        <w:t xml:space="preserve"> </w:t>
      </w:r>
      <w:r w:rsidR="005A238C">
        <w:rPr>
          <w:rFonts w:ascii="Arial" w:hAnsi="Arial" w:cs="Arial"/>
          <w:sz w:val="20"/>
          <w:szCs w:val="20"/>
        </w:rPr>
        <w:t>debt</w:t>
      </w:r>
      <w:r w:rsidRPr="002457E8">
        <w:rPr>
          <w:rFonts w:ascii="Arial" w:hAnsi="Arial" w:cs="Arial"/>
          <w:sz w:val="20"/>
          <w:szCs w:val="20"/>
        </w:rPr>
        <w:t xml:space="preserve">. </w:t>
      </w:r>
      <w:r w:rsidR="00B41EC6">
        <w:rPr>
          <w:rFonts w:ascii="Arial" w:hAnsi="Arial" w:cs="Arial"/>
          <w:sz w:val="20"/>
          <w:szCs w:val="20"/>
        </w:rPr>
        <w:t>T</w:t>
      </w:r>
      <w:r w:rsidRPr="002457E8">
        <w:rPr>
          <w:rFonts w:ascii="Arial" w:hAnsi="Arial" w:cs="Arial"/>
          <w:sz w:val="20"/>
          <w:szCs w:val="20"/>
        </w:rPr>
        <w:t>he cost</w:t>
      </w:r>
      <w:r>
        <w:rPr>
          <w:rFonts w:ascii="Arial" w:hAnsi="Arial" w:cs="Arial"/>
          <w:sz w:val="20"/>
          <w:szCs w:val="20"/>
        </w:rPr>
        <w:t>s</w:t>
      </w:r>
      <w:r w:rsidRPr="002457E8">
        <w:rPr>
          <w:rFonts w:ascii="Arial" w:hAnsi="Arial" w:cs="Arial"/>
          <w:sz w:val="20"/>
          <w:szCs w:val="20"/>
        </w:rPr>
        <w:t xml:space="preserve"> of sovereign default</w:t>
      </w:r>
      <w:r w:rsidR="00297943">
        <w:rPr>
          <w:rFonts w:ascii="Arial" w:hAnsi="Arial" w:cs="Arial"/>
          <w:sz w:val="20"/>
          <w:szCs w:val="20"/>
        </w:rPr>
        <w:t xml:space="preserve"> is shown to play a</w:t>
      </w:r>
      <w:r w:rsidR="00B41EC6">
        <w:rPr>
          <w:rFonts w:ascii="Arial" w:hAnsi="Arial" w:cs="Arial"/>
          <w:sz w:val="20"/>
          <w:szCs w:val="20"/>
        </w:rPr>
        <w:t xml:space="preserve"> </w:t>
      </w:r>
      <w:r w:rsidR="00297943">
        <w:rPr>
          <w:rFonts w:ascii="Arial" w:hAnsi="Arial" w:cs="Arial"/>
          <w:sz w:val="20"/>
          <w:szCs w:val="20"/>
        </w:rPr>
        <w:t xml:space="preserve">emerges as </w:t>
      </w:r>
      <w:r w:rsidR="00B41EC6">
        <w:rPr>
          <w:rFonts w:ascii="Arial" w:hAnsi="Arial" w:cs="Arial"/>
          <w:sz w:val="20"/>
          <w:szCs w:val="20"/>
        </w:rPr>
        <w:t xml:space="preserve">a </w:t>
      </w:r>
      <w:r w:rsidR="00B41EC6" w:rsidRPr="002457E8">
        <w:rPr>
          <w:rFonts w:ascii="Arial" w:hAnsi="Arial" w:cs="Arial"/>
          <w:sz w:val="20"/>
          <w:szCs w:val="20"/>
        </w:rPr>
        <w:t>central role</w:t>
      </w:r>
      <w:r w:rsidRPr="002457E8">
        <w:rPr>
          <w:rFonts w:ascii="Arial" w:hAnsi="Arial" w:cs="Arial"/>
          <w:sz w:val="20"/>
          <w:szCs w:val="20"/>
        </w:rPr>
        <w:t xml:space="preserve">, </w:t>
      </w:r>
      <w:r w:rsidR="00B41EC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their </w:t>
      </w:r>
      <w:r w:rsidRPr="002457E8">
        <w:rPr>
          <w:rFonts w:ascii="Arial" w:hAnsi="Arial" w:cs="Arial"/>
          <w:sz w:val="20"/>
          <w:szCs w:val="20"/>
        </w:rPr>
        <w:t>determinants</w:t>
      </w:r>
      <w:r w:rsidR="008232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457E8">
        <w:rPr>
          <w:rFonts w:ascii="Arial" w:hAnsi="Arial" w:cs="Arial"/>
          <w:sz w:val="20"/>
          <w:szCs w:val="20"/>
        </w:rPr>
        <w:t>channels</w:t>
      </w:r>
      <w:r>
        <w:rPr>
          <w:rFonts w:ascii="Arial" w:hAnsi="Arial" w:cs="Arial"/>
          <w:sz w:val="20"/>
          <w:szCs w:val="20"/>
        </w:rPr>
        <w:t xml:space="preserve"> </w:t>
      </w:r>
      <w:r w:rsidR="008232F3">
        <w:rPr>
          <w:rFonts w:ascii="Arial" w:hAnsi="Arial" w:cs="Arial"/>
          <w:sz w:val="20"/>
          <w:szCs w:val="20"/>
        </w:rPr>
        <w:t xml:space="preserve">and magnitude </w:t>
      </w:r>
      <w:r>
        <w:rPr>
          <w:rFonts w:ascii="Arial" w:hAnsi="Arial" w:cs="Arial"/>
          <w:sz w:val="20"/>
          <w:szCs w:val="20"/>
        </w:rPr>
        <w:t>are analyzed</w:t>
      </w:r>
      <w:r w:rsidRPr="002457E8">
        <w:rPr>
          <w:rFonts w:ascii="Arial" w:hAnsi="Arial" w:cs="Arial"/>
          <w:sz w:val="20"/>
          <w:szCs w:val="20"/>
        </w:rPr>
        <w:t xml:space="preserve">. </w:t>
      </w:r>
      <w:r w:rsidR="001B194E">
        <w:rPr>
          <w:rFonts w:ascii="Arial" w:hAnsi="Arial" w:cs="Arial"/>
          <w:sz w:val="20"/>
          <w:szCs w:val="20"/>
        </w:rPr>
        <w:t>T</w:t>
      </w:r>
      <w:r w:rsidR="008B3254">
        <w:rPr>
          <w:rFonts w:ascii="Arial" w:hAnsi="Arial" w:cs="Arial"/>
          <w:sz w:val="20"/>
          <w:szCs w:val="20"/>
        </w:rPr>
        <w:t>ime permitting, t</w:t>
      </w:r>
      <w:r w:rsidR="001B194E">
        <w:rPr>
          <w:rFonts w:ascii="Arial" w:hAnsi="Arial" w:cs="Arial"/>
          <w:sz w:val="20"/>
          <w:szCs w:val="20"/>
        </w:rPr>
        <w:t>his</w:t>
      </w:r>
      <w:r w:rsidR="007F4090">
        <w:rPr>
          <w:rFonts w:ascii="Arial" w:hAnsi="Arial" w:cs="Arial"/>
          <w:sz w:val="20"/>
          <w:szCs w:val="20"/>
        </w:rPr>
        <w:t xml:space="preserve"> analysis</w:t>
      </w:r>
      <w:r w:rsidR="00F25CF2">
        <w:rPr>
          <w:rFonts w:ascii="Arial" w:hAnsi="Arial" w:cs="Arial"/>
          <w:sz w:val="20"/>
          <w:szCs w:val="20"/>
        </w:rPr>
        <w:t xml:space="preserve"> include</w:t>
      </w:r>
      <w:r w:rsidR="007F4090">
        <w:rPr>
          <w:rFonts w:ascii="Arial" w:hAnsi="Arial" w:cs="Arial"/>
          <w:sz w:val="20"/>
          <w:szCs w:val="20"/>
        </w:rPr>
        <w:t>s</w:t>
      </w:r>
      <w:r w:rsidRPr="002457E8">
        <w:rPr>
          <w:rFonts w:ascii="Arial" w:hAnsi="Arial" w:cs="Arial"/>
          <w:sz w:val="20"/>
          <w:szCs w:val="20"/>
        </w:rPr>
        <w:t xml:space="preserve"> the role of financial institutions, transmission and contagion of sovereign risk </w:t>
      </w:r>
      <w:r w:rsidR="00991985">
        <w:rPr>
          <w:rFonts w:ascii="Arial" w:hAnsi="Arial" w:cs="Arial"/>
          <w:sz w:val="20"/>
          <w:szCs w:val="20"/>
        </w:rPr>
        <w:t>and the</w:t>
      </w:r>
      <w:r w:rsidRPr="002457E8">
        <w:rPr>
          <w:rFonts w:ascii="Arial" w:hAnsi="Arial" w:cs="Arial"/>
          <w:sz w:val="20"/>
          <w:szCs w:val="20"/>
        </w:rPr>
        <w:t xml:space="preserve"> self-fulfilling </w:t>
      </w:r>
      <w:r>
        <w:rPr>
          <w:rFonts w:ascii="Arial" w:hAnsi="Arial" w:cs="Arial"/>
          <w:sz w:val="20"/>
          <w:szCs w:val="20"/>
        </w:rPr>
        <w:t>nature of debt crises.</w:t>
      </w:r>
      <w:r w:rsidR="00CF65B1" w:rsidRPr="009B41D3">
        <w:rPr>
          <w:rFonts w:ascii="Arial" w:hAnsi="Arial" w:cs="Arial"/>
          <w:sz w:val="20"/>
          <w:szCs w:val="20"/>
        </w:rPr>
        <w:tab/>
      </w:r>
    </w:p>
    <w:p w:rsidR="009B41D3" w:rsidRPr="00C30F36" w:rsidRDefault="009B41D3">
      <w:pPr>
        <w:rPr>
          <w:rFonts w:ascii="Arial" w:hAnsi="Arial" w:cs="Arial"/>
          <w:sz w:val="20"/>
          <w:szCs w:val="20"/>
        </w:rPr>
      </w:pPr>
    </w:p>
    <w:p w:rsidR="00B5546A" w:rsidRPr="00C30F36" w:rsidRDefault="00CF65B1" w:rsidP="00CF65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Textbook</w:t>
      </w:r>
      <w:r w:rsidR="00930F12">
        <w:rPr>
          <w:rFonts w:ascii="Arial" w:hAnsi="Arial" w:cs="Arial"/>
          <w:b/>
          <w:sz w:val="20"/>
          <w:szCs w:val="20"/>
        </w:rPr>
        <w:t>s</w:t>
      </w:r>
    </w:p>
    <w:p w:rsidR="00CF6F6C" w:rsidRDefault="00AB4AA8">
      <w:pPr>
        <w:rPr>
          <w:rFonts w:ascii="Arial" w:hAnsi="Arial" w:cs="Arial"/>
          <w:color w:val="222222"/>
          <w:sz w:val="20"/>
          <w:szCs w:val="20"/>
        </w:rPr>
      </w:pPr>
      <w:r w:rsidRPr="0025440C">
        <w:rPr>
          <w:rFonts w:ascii="Arial" w:hAnsi="Arial" w:cs="Arial"/>
          <w:color w:val="222222"/>
          <w:sz w:val="20"/>
          <w:szCs w:val="20"/>
        </w:rPr>
        <w:t>Obstf</w:t>
      </w:r>
      <w:r w:rsidR="00B87B99" w:rsidRPr="0025440C">
        <w:rPr>
          <w:rFonts w:ascii="Arial" w:hAnsi="Arial" w:cs="Arial"/>
          <w:color w:val="222222"/>
          <w:sz w:val="20"/>
          <w:szCs w:val="20"/>
        </w:rPr>
        <w:t>eld, Maurice and Kenneth S. Rogoff</w:t>
      </w:r>
      <w:r w:rsidRPr="0025440C">
        <w:rPr>
          <w:rFonts w:ascii="Arial" w:hAnsi="Arial" w:cs="Arial"/>
          <w:color w:val="222222"/>
          <w:sz w:val="20"/>
          <w:szCs w:val="20"/>
        </w:rPr>
        <w:t xml:space="preserve">. </w:t>
      </w:r>
      <w:r w:rsidRPr="00AB4AA8">
        <w:rPr>
          <w:rFonts w:ascii="Arial" w:hAnsi="Arial" w:cs="Arial"/>
          <w:color w:val="222222"/>
          <w:sz w:val="20"/>
          <w:szCs w:val="20"/>
        </w:rPr>
        <w:t>Foundations of international macroeconomics. Cambridge, MA: MIT press, 1996.</w:t>
      </w:r>
    </w:p>
    <w:p w:rsidR="00AB4AA8" w:rsidRPr="00F93C61" w:rsidRDefault="00F93C61" w:rsidP="00F93C61">
      <w:pPr>
        <w:rPr>
          <w:rFonts w:ascii="Arial" w:hAnsi="Arial" w:cs="Arial"/>
          <w:sz w:val="20"/>
          <w:szCs w:val="20"/>
        </w:rPr>
      </w:pPr>
      <w:r w:rsidRPr="00F93C61">
        <w:rPr>
          <w:rFonts w:ascii="Arial" w:hAnsi="Arial" w:cs="Arial"/>
          <w:sz w:val="20"/>
          <w:szCs w:val="20"/>
        </w:rPr>
        <w:t>Harms, Philipp (2016): International Macroeconomics, 2nd edition, Tübingen (Mohr Siebeck).</w:t>
      </w:r>
    </w:p>
    <w:p w:rsidR="00930F12" w:rsidRPr="004031E7" w:rsidRDefault="00930F12">
      <w:pPr>
        <w:rPr>
          <w:rFonts w:ascii="Arial" w:hAnsi="Arial" w:cs="Arial"/>
          <w:sz w:val="20"/>
          <w:szCs w:val="20"/>
        </w:rPr>
      </w:pPr>
    </w:p>
    <w:p w:rsidR="00A1056B" w:rsidRPr="004031E7" w:rsidRDefault="00257B18" w:rsidP="00AA2FF8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International borrowing and lending </w:t>
      </w:r>
      <w:r w:rsidR="00683399">
        <w:rPr>
          <w:rFonts w:ascii="Arial" w:hAnsi="Arial" w:cs="Arial"/>
          <w:b/>
          <w:sz w:val="20"/>
          <w:szCs w:val="20"/>
        </w:rPr>
        <w:t>under complete markets</w:t>
      </w:r>
      <w:r w:rsidR="00404AAB" w:rsidRPr="004031E7">
        <w:rPr>
          <w:rFonts w:ascii="Arial" w:hAnsi="Arial" w:cs="Arial"/>
          <w:b/>
          <w:sz w:val="20"/>
          <w:szCs w:val="20"/>
        </w:rPr>
        <w:t xml:space="preserve"> </w:t>
      </w:r>
    </w:p>
    <w:p w:rsidR="00A1056B" w:rsidRPr="00AD786B" w:rsidRDefault="00A1056B" w:rsidP="00A1056B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  <w:r w:rsidR="008C7347">
        <w:rPr>
          <w:rFonts w:ascii="Arial" w:hAnsi="Arial" w:cs="Arial"/>
          <w:i/>
          <w:sz w:val="20"/>
          <w:szCs w:val="20"/>
        </w:rPr>
        <w:t xml:space="preserve"> </w:t>
      </w:r>
    </w:p>
    <w:p w:rsidR="00750183" w:rsidRDefault="009C5EE0" w:rsidP="00750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166D6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Chapter </w:t>
      </w:r>
      <w:r w:rsidR="00750183" w:rsidRPr="004031E7">
        <w:rPr>
          <w:rFonts w:ascii="Arial" w:hAnsi="Arial" w:cs="Arial"/>
          <w:sz w:val="20"/>
          <w:szCs w:val="20"/>
        </w:rPr>
        <w:t>5</w:t>
      </w:r>
      <w:r w:rsidR="005347D0">
        <w:rPr>
          <w:rFonts w:ascii="Arial" w:hAnsi="Arial" w:cs="Arial"/>
          <w:sz w:val="20"/>
          <w:szCs w:val="20"/>
        </w:rPr>
        <w:t xml:space="preserve"> </w:t>
      </w:r>
      <w:r w:rsidR="00A91AB1">
        <w:rPr>
          <w:rFonts w:ascii="Arial" w:hAnsi="Arial" w:cs="Arial"/>
          <w:sz w:val="20"/>
          <w:szCs w:val="20"/>
        </w:rPr>
        <w:t xml:space="preserve">(pp. </w:t>
      </w:r>
      <w:r>
        <w:rPr>
          <w:rFonts w:ascii="Arial" w:hAnsi="Arial" w:cs="Arial"/>
          <w:sz w:val="20"/>
          <w:szCs w:val="20"/>
        </w:rPr>
        <w:t>269</w:t>
      </w:r>
      <w:r w:rsidR="00A91AB1">
        <w:rPr>
          <w:rFonts w:ascii="Arial" w:hAnsi="Arial" w:cs="Arial"/>
          <w:sz w:val="20"/>
          <w:szCs w:val="20"/>
        </w:rPr>
        <w:t xml:space="preserve"> – </w:t>
      </w:r>
      <w:r w:rsidR="00AD42BD">
        <w:rPr>
          <w:rFonts w:ascii="Arial" w:hAnsi="Arial" w:cs="Arial"/>
          <w:sz w:val="20"/>
          <w:szCs w:val="20"/>
        </w:rPr>
        <w:t>291</w:t>
      </w:r>
      <w:r w:rsidR="00A91AB1">
        <w:rPr>
          <w:rFonts w:ascii="Arial" w:hAnsi="Arial" w:cs="Arial"/>
          <w:sz w:val="20"/>
          <w:szCs w:val="20"/>
        </w:rPr>
        <w:t xml:space="preserve">) </w:t>
      </w:r>
    </w:p>
    <w:p w:rsidR="00830482" w:rsidRPr="00AD786B" w:rsidRDefault="00830482" w:rsidP="0083048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Optional </w:t>
      </w:r>
      <w:r w:rsidRPr="00AD786B">
        <w:rPr>
          <w:rFonts w:ascii="Arial" w:hAnsi="Arial" w:cs="Arial"/>
          <w:i/>
          <w:sz w:val="20"/>
          <w:szCs w:val="20"/>
        </w:rPr>
        <w:t>readings</w:t>
      </w:r>
    </w:p>
    <w:p w:rsidR="00993B78" w:rsidRDefault="00410057" w:rsidP="00993B78">
      <w:pPr>
        <w:rPr>
          <w:rFonts w:ascii="Arial" w:hAnsi="Arial" w:cs="Arial"/>
          <w:color w:val="222222"/>
          <w:sz w:val="20"/>
          <w:szCs w:val="20"/>
        </w:rPr>
      </w:pPr>
      <w:r w:rsidRPr="00410057">
        <w:rPr>
          <w:rFonts w:ascii="Arial" w:hAnsi="Arial" w:cs="Arial"/>
          <w:color w:val="222222"/>
          <w:sz w:val="20"/>
          <w:szCs w:val="20"/>
        </w:rPr>
        <w:t>French, Kenneth R., and James Michael Poterba</w:t>
      </w:r>
      <w:r w:rsidR="007D2F95">
        <w:rPr>
          <w:rFonts w:ascii="Arial" w:hAnsi="Arial" w:cs="Arial"/>
          <w:color w:val="222222"/>
          <w:sz w:val="20"/>
          <w:szCs w:val="20"/>
        </w:rPr>
        <w:t xml:space="preserve"> 1991</w:t>
      </w:r>
      <w:r w:rsidRPr="00410057">
        <w:rPr>
          <w:rFonts w:ascii="Arial" w:hAnsi="Arial" w:cs="Arial"/>
          <w:color w:val="222222"/>
          <w:sz w:val="20"/>
          <w:szCs w:val="20"/>
        </w:rPr>
        <w:t>. "Investor Diversification and International Equity Markets." American Economic Review 81.2 222-226.</w:t>
      </w:r>
    </w:p>
    <w:p w:rsidR="00A426A3" w:rsidRDefault="00D2758E" w:rsidP="00A426A3">
      <w:pPr>
        <w:rPr>
          <w:rFonts w:ascii="Arial" w:hAnsi="Arial" w:cs="Arial"/>
          <w:sz w:val="20"/>
          <w:szCs w:val="20"/>
        </w:rPr>
      </w:pPr>
      <w:r w:rsidRPr="00D2758E">
        <w:rPr>
          <w:rFonts w:ascii="Arial" w:hAnsi="Arial" w:cs="Arial"/>
          <w:sz w:val="20"/>
          <w:szCs w:val="20"/>
        </w:rPr>
        <w:t>Brennan, Michael J., and H. Henry Cao</w:t>
      </w:r>
      <w:r w:rsidR="00D52CF9">
        <w:rPr>
          <w:rFonts w:ascii="Arial" w:hAnsi="Arial" w:cs="Arial"/>
          <w:sz w:val="20"/>
          <w:szCs w:val="20"/>
        </w:rPr>
        <w:t xml:space="preserve"> 1997:</w:t>
      </w:r>
      <w:r w:rsidRPr="00D2758E">
        <w:rPr>
          <w:rFonts w:ascii="Arial" w:hAnsi="Arial" w:cs="Arial"/>
          <w:sz w:val="20"/>
          <w:szCs w:val="20"/>
        </w:rPr>
        <w:t xml:space="preserve"> "International portfolio investment flows." Journal of Finance 52.5</w:t>
      </w:r>
      <w:r w:rsidR="00D52CF9">
        <w:rPr>
          <w:rFonts w:ascii="Arial" w:hAnsi="Arial" w:cs="Arial"/>
          <w:sz w:val="20"/>
          <w:szCs w:val="20"/>
        </w:rPr>
        <w:t>,</w:t>
      </w:r>
      <w:r w:rsidRPr="00D2758E">
        <w:rPr>
          <w:rFonts w:ascii="Arial" w:hAnsi="Arial" w:cs="Arial"/>
          <w:sz w:val="20"/>
          <w:szCs w:val="20"/>
        </w:rPr>
        <w:t xml:space="preserve"> 1851-1880.</w:t>
      </w:r>
    </w:p>
    <w:p w:rsidR="00D2758E" w:rsidRDefault="00B57B7B" w:rsidP="00A426A3">
      <w:pPr>
        <w:rPr>
          <w:rFonts w:ascii="Arial" w:hAnsi="Arial" w:cs="Arial"/>
          <w:sz w:val="20"/>
          <w:szCs w:val="20"/>
        </w:rPr>
      </w:pPr>
      <w:r w:rsidRPr="00B57B7B">
        <w:rPr>
          <w:rFonts w:ascii="Arial" w:hAnsi="Arial" w:cs="Arial"/>
          <w:sz w:val="20"/>
          <w:szCs w:val="20"/>
        </w:rPr>
        <w:t>Van Nieuwerb</w:t>
      </w:r>
      <w:r w:rsidR="00D52CF9">
        <w:rPr>
          <w:rFonts w:ascii="Arial" w:hAnsi="Arial" w:cs="Arial"/>
          <w:sz w:val="20"/>
          <w:szCs w:val="20"/>
        </w:rPr>
        <w:t>urgh, Stijn, and Laura Veldkamp 2009:</w:t>
      </w:r>
      <w:r w:rsidRPr="00B57B7B">
        <w:rPr>
          <w:rFonts w:ascii="Arial" w:hAnsi="Arial" w:cs="Arial"/>
          <w:sz w:val="20"/>
          <w:szCs w:val="20"/>
        </w:rPr>
        <w:t xml:space="preserve"> "Information immobility and the home bias puzzle." Journal of Finance 64.3</w:t>
      </w:r>
      <w:r w:rsidR="00D52CF9">
        <w:rPr>
          <w:rFonts w:ascii="Arial" w:hAnsi="Arial" w:cs="Arial"/>
          <w:sz w:val="20"/>
          <w:szCs w:val="20"/>
        </w:rPr>
        <w:t>,</w:t>
      </w:r>
      <w:r w:rsidRPr="00B57B7B">
        <w:rPr>
          <w:rFonts w:ascii="Arial" w:hAnsi="Arial" w:cs="Arial"/>
          <w:sz w:val="20"/>
          <w:szCs w:val="20"/>
        </w:rPr>
        <w:t xml:space="preserve"> 1187-1215.</w:t>
      </w:r>
    </w:p>
    <w:p w:rsidR="00B57B7B" w:rsidRDefault="00F1604F" w:rsidP="00A426A3">
      <w:pPr>
        <w:rPr>
          <w:rFonts w:ascii="Arial" w:hAnsi="Arial" w:cs="Arial"/>
          <w:sz w:val="20"/>
          <w:szCs w:val="20"/>
        </w:rPr>
      </w:pPr>
      <w:r w:rsidRPr="00F1604F">
        <w:rPr>
          <w:rFonts w:ascii="Arial" w:hAnsi="Arial" w:cs="Arial"/>
          <w:sz w:val="20"/>
          <w:szCs w:val="20"/>
        </w:rPr>
        <w:t>Obstfeld, Maurice, and Kenneth Rogoff</w:t>
      </w:r>
      <w:r>
        <w:rPr>
          <w:rFonts w:ascii="Arial" w:hAnsi="Arial" w:cs="Arial"/>
          <w:sz w:val="20"/>
          <w:szCs w:val="20"/>
        </w:rPr>
        <w:t xml:space="preserve"> 2000:</w:t>
      </w:r>
      <w:r w:rsidRPr="00F1604F">
        <w:rPr>
          <w:rFonts w:ascii="Arial" w:hAnsi="Arial" w:cs="Arial"/>
          <w:sz w:val="20"/>
          <w:szCs w:val="20"/>
        </w:rPr>
        <w:t xml:space="preserve"> "The six major puzzles in international macroeconomics: is there a common cause?" NBER macroeconomics annual 15</w:t>
      </w:r>
      <w:r>
        <w:rPr>
          <w:rFonts w:ascii="Arial" w:hAnsi="Arial" w:cs="Arial"/>
          <w:sz w:val="20"/>
          <w:szCs w:val="20"/>
        </w:rPr>
        <w:t>,</w:t>
      </w:r>
      <w:r w:rsidRPr="00F1604F">
        <w:rPr>
          <w:rFonts w:ascii="Arial" w:hAnsi="Arial" w:cs="Arial"/>
          <w:sz w:val="20"/>
          <w:szCs w:val="20"/>
        </w:rPr>
        <w:t xml:space="preserve"> 339-390.</w:t>
      </w:r>
    </w:p>
    <w:p w:rsidR="00F1604F" w:rsidRDefault="00D42DF2" w:rsidP="00A426A3">
      <w:pPr>
        <w:rPr>
          <w:rFonts w:ascii="Arial" w:hAnsi="Arial" w:cs="Arial"/>
          <w:sz w:val="20"/>
          <w:szCs w:val="20"/>
        </w:rPr>
      </w:pPr>
      <w:r w:rsidRPr="00D42DF2">
        <w:rPr>
          <w:rFonts w:ascii="Arial" w:hAnsi="Arial" w:cs="Arial"/>
          <w:sz w:val="20"/>
          <w:szCs w:val="20"/>
        </w:rPr>
        <w:t>Coeurdacier, Nicolas, and Helene Rey</w:t>
      </w:r>
      <w:r w:rsidR="009A6DD4">
        <w:rPr>
          <w:rFonts w:ascii="Arial" w:hAnsi="Arial" w:cs="Arial"/>
          <w:sz w:val="20"/>
          <w:szCs w:val="20"/>
        </w:rPr>
        <w:t xml:space="preserve"> 2012</w:t>
      </w:r>
      <w:r w:rsidRPr="00D42DF2">
        <w:rPr>
          <w:rFonts w:ascii="Arial" w:hAnsi="Arial" w:cs="Arial"/>
          <w:sz w:val="20"/>
          <w:szCs w:val="20"/>
        </w:rPr>
        <w:t>. "Home bias in open economy financial macroeconomics." Journal of Economic Literature 51.1 63-115.</w:t>
      </w:r>
    </w:p>
    <w:p w:rsidR="00DB2D4F" w:rsidRPr="00DB2D4F" w:rsidRDefault="00DB2D4F" w:rsidP="00DB2D4F">
      <w:pPr>
        <w:rPr>
          <w:rFonts w:ascii="Arial" w:hAnsi="Arial" w:cs="Arial"/>
          <w:sz w:val="20"/>
          <w:szCs w:val="20"/>
        </w:rPr>
      </w:pPr>
    </w:p>
    <w:p w:rsidR="00A426A3" w:rsidRPr="00AF53CA" w:rsidRDefault="00AB5EB5" w:rsidP="003D7A16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Sovereign </w:t>
      </w:r>
      <w:r w:rsidR="00E72CC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olvency </w:t>
      </w:r>
    </w:p>
    <w:p w:rsidR="00A426A3" w:rsidRPr="00AD786B" w:rsidRDefault="00A426A3" w:rsidP="00A426A3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A426A3" w:rsidRPr="004031E7" w:rsidRDefault="00A47E9A" w:rsidP="00A42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Harms</w:t>
      </w:r>
      <w:r w:rsidR="00A426A3">
        <w:rPr>
          <w:rFonts w:ascii="Arial" w:hAnsi="Arial" w:cs="Arial"/>
          <w:sz w:val="20"/>
          <w:szCs w:val="20"/>
        </w:rPr>
        <w:t xml:space="preserve">, p </w:t>
      </w:r>
      <w:r>
        <w:rPr>
          <w:rFonts w:ascii="Arial" w:hAnsi="Arial" w:cs="Arial"/>
          <w:sz w:val="20"/>
          <w:szCs w:val="20"/>
        </w:rPr>
        <w:t>2</w:t>
      </w:r>
      <w:r w:rsidR="00A426A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="00A426A3">
        <w:rPr>
          <w:rFonts w:ascii="Arial" w:hAnsi="Arial" w:cs="Arial"/>
          <w:sz w:val="20"/>
          <w:szCs w:val="20"/>
        </w:rPr>
        <w:t xml:space="preserve"> - </w:t>
      </w:r>
      <w:r w:rsidR="00DF2B4B">
        <w:rPr>
          <w:rFonts w:ascii="Arial" w:hAnsi="Arial" w:cs="Arial"/>
          <w:sz w:val="20"/>
          <w:szCs w:val="20"/>
        </w:rPr>
        <w:t>238</w:t>
      </w:r>
    </w:p>
    <w:p w:rsidR="00A426A3" w:rsidRPr="00AD786B" w:rsidRDefault="00A426A3" w:rsidP="00A426A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Optional </w:t>
      </w:r>
      <w:r w:rsidRPr="00AD786B">
        <w:rPr>
          <w:rFonts w:ascii="Arial" w:hAnsi="Arial" w:cs="Arial"/>
          <w:i/>
          <w:sz w:val="20"/>
          <w:szCs w:val="20"/>
        </w:rPr>
        <w:t>readings</w:t>
      </w:r>
    </w:p>
    <w:p w:rsidR="008663FA" w:rsidRPr="005D1152" w:rsidRDefault="008663FA" w:rsidP="001330D4">
      <w:pPr>
        <w:rPr>
          <w:rFonts w:ascii="Arial" w:hAnsi="Arial" w:cs="Arial"/>
          <w:sz w:val="20"/>
          <w:szCs w:val="20"/>
        </w:rPr>
      </w:pPr>
      <w:r w:rsidRPr="005D1152">
        <w:rPr>
          <w:rFonts w:ascii="Arial" w:hAnsi="Arial" w:cs="Arial"/>
          <w:sz w:val="20"/>
          <w:szCs w:val="20"/>
        </w:rPr>
        <w:t>Reinhart, Carmen M., Kenneth S. Rogoff, and Miguel A. Savastano</w:t>
      </w:r>
      <w:r w:rsidR="00FB0413">
        <w:rPr>
          <w:rFonts w:ascii="Arial" w:hAnsi="Arial" w:cs="Arial"/>
          <w:sz w:val="20"/>
          <w:szCs w:val="20"/>
        </w:rPr>
        <w:t xml:space="preserve"> 2003:</w:t>
      </w:r>
      <w:r w:rsidRPr="005D1152">
        <w:rPr>
          <w:rFonts w:ascii="Arial" w:hAnsi="Arial" w:cs="Arial"/>
          <w:sz w:val="20"/>
          <w:szCs w:val="20"/>
        </w:rPr>
        <w:t xml:space="preserve"> Addicted to dollars. </w:t>
      </w:r>
      <w:r w:rsidR="00FB0413">
        <w:rPr>
          <w:rFonts w:ascii="Arial" w:hAnsi="Arial" w:cs="Arial"/>
          <w:sz w:val="20"/>
          <w:szCs w:val="20"/>
        </w:rPr>
        <w:t xml:space="preserve">NBER WP </w:t>
      </w:r>
      <w:r w:rsidRPr="005D1152">
        <w:rPr>
          <w:rFonts w:ascii="Arial" w:hAnsi="Arial" w:cs="Arial"/>
          <w:sz w:val="20"/>
          <w:szCs w:val="20"/>
        </w:rPr>
        <w:t>10015.</w:t>
      </w:r>
    </w:p>
    <w:p w:rsidR="001330D4" w:rsidRPr="00DB2D4F" w:rsidRDefault="001330D4" w:rsidP="001330D4">
      <w:pPr>
        <w:rPr>
          <w:rFonts w:ascii="Arial" w:hAnsi="Arial" w:cs="Arial"/>
          <w:sz w:val="20"/>
          <w:szCs w:val="20"/>
        </w:rPr>
      </w:pPr>
      <w:r w:rsidRPr="00DB2D4F">
        <w:rPr>
          <w:rFonts w:ascii="Arial" w:hAnsi="Arial" w:cs="Arial"/>
          <w:sz w:val="20"/>
          <w:szCs w:val="20"/>
        </w:rPr>
        <w:t>Blanchard, Olivier Paolo Mauro, Julien Acalin 2016</w:t>
      </w:r>
      <w:r>
        <w:rPr>
          <w:rFonts w:ascii="Arial" w:hAnsi="Arial" w:cs="Arial"/>
          <w:sz w:val="20"/>
          <w:szCs w:val="20"/>
        </w:rPr>
        <w:t>: “</w:t>
      </w:r>
      <w:r w:rsidRPr="00DB2D4F">
        <w:rPr>
          <w:rFonts w:ascii="Arial" w:hAnsi="Arial" w:cs="Arial"/>
          <w:sz w:val="20"/>
          <w:szCs w:val="20"/>
        </w:rPr>
        <w:t>The case for growth-indexed bo</w:t>
      </w:r>
      <w:r>
        <w:rPr>
          <w:rFonts w:ascii="Arial" w:hAnsi="Arial" w:cs="Arial"/>
          <w:sz w:val="20"/>
          <w:szCs w:val="20"/>
        </w:rPr>
        <w:t xml:space="preserve">nds in advanced economies today” </w:t>
      </w:r>
      <w:r w:rsidR="006410C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oxeu </w:t>
      </w:r>
      <w:r w:rsidR="00441C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olumn</w:t>
      </w:r>
    </w:p>
    <w:p w:rsidR="00BC4052" w:rsidRDefault="00182308" w:rsidP="00182308">
      <w:pPr>
        <w:rPr>
          <w:rFonts w:ascii="Arial" w:hAnsi="Arial" w:cs="Arial"/>
          <w:sz w:val="20"/>
          <w:szCs w:val="20"/>
        </w:rPr>
      </w:pPr>
      <w:r w:rsidRPr="00182308">
        <w:rPr>
          <w:rFonts w:ascii="Arial" w:hAnsi="Arial" w:cs="Arial"/>
          <w:sz w:val="20"/>
          <w:szCs w:val="20"/>
        </w:rPr>
        <w:t xml:space="preserve">IMF Country Report </w:t>
      </w:r>
      <w:r>
        <w:rPr>
          <w:rFonts w:ascii="Arial" w:hAnsi="Arial" w:cs="Arial"/>
          <w:sz w:val="20"/>
          <w:szCs w:val="20"/>
        </w:rPr>
        <w:t>2016: Greece. Preliminary Debt Sustainability Analysis – Updated  Estimations and Further Considerations</w:t>
      </w:r>
    </w:p>
    <w:p w:rsidR="00182308" w:rsidRPr="001330D4" w:rsidRDefault="00182308" w:rsidP="00182308">
      <w:pPr>
        <w:rPr>
          <w:rFonts w:ascii="Arial" w:hAnsi="Arial" w:cs="Arial"/>
          <w:sz w:val="20"/>
          <w:szCs w:val="20"/>
        </w:rPr>
      </w:pPr>
    </w:p>
    <w:p w:rsidR="00BC4052" w:rsidRPr="00D705DC" w:rsidRDefault="00763BC3" w:rsidP="00B62CA0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Sovereign borrowing, enforcement and the willingness to pay </w:t>
      </w:r>
    </w:p>
    <w:p w:rsidR="00BC4052" w:rsidRPr="00AD786B" w:rsidRDefault="00BC4052" w:rsidP="00BC4052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</w:p>
    <w:p w:rsidR="0022404E" w:rsidRPr="004031E7" w:rsidRDefault="0037014E" w:rsidP="00224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22404E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p.</w:t>
      </w:r>
      <w:r w:rsidR="002240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349</w:t>
      </w:r>
      <w:r w:rsidR="0022404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362</w:t>
      </w:r>
    </w:p>
    <w:p w:rsidR="0022404E" w:rsidRPr="00AD786B" w:rsidRDefault="0022404E" w:rsidP="002240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Optional </w:t>
      </w:r>
      <w:r w:rsidRPr="00AD786B">
        <w:rPr>
          <w:rFonts w:ascii="Arial" w:hAnsi="Arial" w:cs="Arial"/>
          <w:i/>
          <w:sz w:val="20"/>
          <w:szCs w:val="20"/>
        </w:rPr>
        <w:t>readings</w:t>
      </w:r>
    </w:p>
    <w:p w:rsidR="00150265" w:rsidRDefault="00150265" w:rsidP="004E0E2B">
      <w:pPr>
        <w:rPr>
          <w:rFonts w:ascii="Arial" w:hAnsi="Arial" w:cs="Arial"/>
          <w:sz w:val="20"/>
          <w:szCs w:val="20"/>
        </w:rPr>
      </w:pPr>
      <w:r w:rsidRPr="00150265">
        <w:rPr>
          <w:rFonts w:ascii="Arial" w:hAnsi="Arial" w:cs="Arial"/>
          <w:sz w:val="20"/>
          <w:szCs w:val="20"/>
        </w:rPr>
        <w:t>Aguiar, Mark, and Manuel Amador. "Sovereign debt." Handbook of International Economics. Vol. 4. Elsevier, 2014. 647-687.</w:t>
      </w:r>
    </w:p>
    <w:p w:rsidR="004E0E2B" w:rsidRDefault="004E0E2B" w:rsidP="004E0E2B">
      <w:pPr>
        <w:rPr>
          <w:rFonts w:ascii="Arial" w:hAnsi="Arial" w:cs="Arial"/>
          <w:sz w:val="20"/>
          <w:szCs w:val="20"/>
        </w:rPr>
      </w:pPr>
      <w:r w:rsidRPr="00DD54DA">
        <w:rPr>
          <w:rFonts w:ascii="Arial" w:hAnsi="Arial" w:cs="Arial"/>
          <w:sz w:val="20"/>
          <w:szCs w:val="20"/>
        </w:rPr>
        <w:t>Tomz, Michael, and Mark LJ Wright.</w:t>
      </w:r>
      <w:r>
        <w:rPr>
          <w:rFonts w:ascii="Arial" w:hAnsi="Arial" w:cs="Arial"/>
          <w:sz w:val="20"/>
          <w:szCs w:val="20"/>
        </w:rPr>
        <w:t xml:space="preserve"> </w:t>
      </w:r>
      <w:r w:rsidRPr="00DD54DA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>.</w:t>
      </w:r>
      <w:r w:rsidRPr="00DD54DA">
        <w:rPr>
          <w:rFonts w:ascii="Arial" w:hAnsi="Arial" w:cs="Arial"/>
          <w:sz w:val="20"/>
          <w:szCs w:val="20"/>
        </w:rPr>
        <w:t xml:space="preserve"> "Empirical research on sovereign debt and default." Annu</w:t>
      </w:r>
      <w:r w:rsidR="00EE37CF">
        <w:rPr>
          <w:rFonts w:ascii="Arial" w:hAnsi="Arial" w:cs="Arial"/>
          <w:sz w:val="20"/>
          <w:szCs w:val="20"/>
        </w:rPr>
        <w:t>al</w:t>
      </w:r>
      <w:r w:rsidRPr="00DD54DA">
        <w:rPr>
          <w:rFonts w:ascii="Arial" w:hAnsi="Arial" w:cs="Arial"/>
          <w:sz w:val="20"/>
          <w:szCs w:val="20"/>
        </w:rPr>
        <w:t xml:space="preserve"> Rev</w:t>
      </w:r>
      <w:r w:rsidR="00EE37CF">
        <w:rPr>
          <w:rFonts w:ascii="Arial" w:hAnsi="Arial" w:cs="Arial"/>
          <w:sz w:val="20"/>
          <w:szCs w:val="20"/>
        </w:rPr>
        <w:t>iew</w:t>
      </w:r>
      <w:r w:rsidRPr="00DD54DA">
        <w:rPr>
          <w:rFonts w:ascii="Arial" w:hAnsi="Arial" w:cs="Arial"/>
          <w:sz w:val="20"/>
          <w:szCs w:val="20"/>
        </w:rPr>
        <w:t xml:space="preserve"> </w:t>
      </w:r>
      <w:r w:rsidR="00EE37CF">
        <w:rPr>
          <w:rFonts w:ascii="Arial" w:hAnsi="Arial" w:cs="Arial"/>
          <w:sz w:val="20"/>
          <w:szCs w:val="20"/>
        </w:rPr>
        <w:t xml:space="preserve">of </w:t>
      </w:r>
      <w:r w:rsidRPr="00DD54DA">
        <w:rPr>
          <w:rFonts w:ascii="Arial" w:hAnsi="Arial" w:cs="Arial"/>
          <w:sz w:val="20"/>
          <w:szCs w:val="20"/>
        </w:rPr>
        <w:t>Econ</w:t>
      </w:r>
      <w:r w:rsidR="00EE37CF">
        <w:rPr>
          <w:rFonts w:ascii="Arial" w:hAnsi="Arial" w:cs="Arial"/>
          <w:sz w:val="20"/>
          <w:szCs w:val="20"/>
        </w:rPr>
        <w:t>omics</w:t>
      </w:r>
      <w:r>
        <w:rPr>
          <w:rFonts w:ascii="Arial" w:hAnsi="Arial" w:cs="Arial"/>
          <w:sz w:val="20"/>
          <w:szCs w:val="20"/>
        </w:rPr>
        <w:t xml:space="preserve"> pp</w:t>
      </w:r>
      <w:r w:rsidRPr="00DD54DA">
        <w:rPr>
          <w:rFonts w:ascii="Arial" w:hAnsi="Arial" w:cs="Arial"/>
          <w:sz w:val="20"/>
          <w:szCs w:val="20"/>
        </w:rPr>
        <w:t>. 5:247–72.</w:t>
      </w:r>
    </w:p>
    <w:p w:rsidR="00432767" w:rsidRDefault="00432767" w:rsidP="0022404E">
      <w:pPr>
        <w:rPr>
          <w:rFonts w:ascii="Arial" w:hAnsi="Arial" w:cs="Arial"/>
          <w:sz w:val="20"/>
          <w:szCs w:val="20"/>
        </w:rPr>
      </w:pPr>
      <w:r w:rsidRPr="00432767">
        <w:rPr>
          <w:rFonts w:ascii="Arial" w:hAnsi="Arial" w:cs="Arial"/>
          <w:sz w:val="20"/>
          <w:szCs w:val="20"/>
        </w:rPr>
        <w:t>Eaton, Jonathan, and Mark Gersovitz</w:t>
      </w:r>
      <w:r>
        <w:rPr>
          <w:rFonts w:ascii="Arial" w:hAnsi="Arial" w:cs="Arial"/>
          <w:sz w:val="20"/>
          <w:szCs w:val="20"/>
        </w:rPr>
        <w:t xml:space="preserve"> 1981</w:t>
      </w:r>
      <w:r w:rsidRPr="00432767">
        <w:rPr>
          <w:rFonts w:ascii="Arial" w:hAnsi="Arial" w:cs="Arial"/>
          <w:sz w:val="20"/>
          <w:szCs w:val="20"/>
        </w:rPr>
        <w:t>. "Debt with potential repudiation: Theoretical and empirical analysis." Review o</w:t>
      </w:r>
      <w:r>
        <w:rPr>
          <w:rFonts w:ascii="Arial" w:hAnsi="Arial" w:cs="Arial"/>
          <w:sz w:val="20"/>
          <w:szCs w:val="20"/>
        </w:rPr>
        <w:t xml:space="preserve">f Economic Studies 48.2 </w:t>
      </w:r>
      <w:r w:rsidRPr="00432767">
        <w:rPr>
          <w:rFonts w:ascii="Arial" w:hAnsi="Arial" w:cs="Arial"/>
          <w:sz w:val="20"/>
          <w:szCs w:val="20"/>
        </w:rPr>
        <w:t>289-309.</w:t>
      </w:r>
    </w:p>
    <w:p w:rsidR="000A157E" w:rsidRDefault="00867648" w:rsidP="0022404E">
      <w:pPr>
        <w:rPr>
          <w:rFonts w:ascii="Arial" w:hAnsi="Arial" w:cs="Arial"/>
          <w:sz w:val="20"/>
          <w:szCs w:val="20"/>
        </w:rPr>
      </w:pPr>
      <w:r w:rsidRPr="00867648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low, Jeremy, and Kenneth Rogoff 1989</w:t>
      </w:r>
      <w:r w:rsidRPr="00867648">
        <w:rPr>
          <w:rFonts w:ascii="Arial" w:hAnsi="Arial" w:cs="Arial"/>
          <w:sz w:val="20"/>
          <w:szCs w:val="20"/>
        </w:rPr>
        <w:t xml:space="preserve"> "A constant recontracting model of sovereign debt." Journal of political Economy 97.1 155-178.</w:t>
      </w:r>
    </w:p>
    <w:p w:rsidR="002526D9" w:rsidRDefault="002526D9" w:rsidP="0022404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Cole, Harold L., and Patrick J. Kehoe</w:t>
      </w:r>
      <w:r w:rsidR="00334BF3">
        <w:rPr>
          <w:rFonts w:ascii="Arial" w:hAnsi="Arial" w:cs="Arial"/>
          <w:color w:val="222222"/>
          <w:sz w:val="20"/>
          <w:szCs w:val="20"/>
        </w:rPr>
        <w:t xml:space="preserve"> 1998</w:t>
      </w:r>
      <w:r>
        <w:rPr>
          <w:rFonts w:ascii="Arial" w:hAnsi="Arial" w:cs="Arial"/>
          <w:color w:val="222222"/>
          <w:sz w:val="20"/>
          <w:szCs w:val="20"/>
        </w:rPr>
        <w:t xml:space="preserve">. "Models of sovereign debt: Partial versus general reputations." </w:t>
      </w:r>
      <w:r>
        <w:rPr>
          <w:rFonts w:ascii="Arial" w:hAnsi="Arial" w:cs="Arial"/>
          <w:i/>
          <w:iCs/>
          <w:color w:val="222222"/>
          <w:sz w:val="20"/>
          <w:szCs w:val="20"/>
        </w:rPr>
        <w:t>International Economic Review</w:t>
      </w:r>
      <w:r>
        <w:rPr>
          <w:rFonts w:ascii="Arial" w:hAnsi="Arial" w:cs="Arial"/>
          <w:color w:val="222222"/>
          <w:sz w:val="20"/>
          <w:szCs w:val="20"/>
        </w:rPr>
        <w:t xml:space="preserve"> 55-70.</w:t>
      </w:r>
    </w:p>
    <w:p w:rsidR="00A762C7" w:rsidRDefault="00A762C7" w:rsidP="0022404E">
      <w:pPr>
        <w:rPr>
          <w:rFonts w:ascii="Arial" w:hAnsi="Arial" w:cs="Arial"/>
          <w:sz w:val="20"/>
          <w:szCs w:val="20"/>
        </w:rPr>
      </w:pPr>
      <w:r w:rsidRPr="00A762C7">
        <w:rPr>
          <w:rFonts w:ascii="Arial" w:hAnsi="Arial" w:cs="Arial"/>
          <w:sz w:val="20"/>
          <w:szCs w:val="20"/>
        </w:rPr>
        <w:t>Amador, Manuel</w:t>
      </w:r>
      <w:r w:rsidR="00FD16A3">
        <w:rPr>
          <w:rFonts w:ascii="Arial" w:hAnsi="Arial" w:cs="Arial"/>
          <w:sz w:val="20"/>
          <w:szCs w:val="20"/>
        </w:rPr>
        <w:t xml:space="preserve"> </w:t>
      </w:r>
      <w:r w:rsidR="00FD16A3" w:rsidRPr="00A762C7">
        <w:rPr>
          <w:rFonts w:ascii="Arial" w:hAnsi="Arial" w:cs="Arial"/>
          <w:sz w:val="20"/>
          <w:szCs w:val="20"/>
        </w:rPr>
        <w:t>2003</w:t>
      </w:r>
      <w:r w:rsidRPr="00A762C7">
        <w:rPr>
          <w:rFonts w:ascii="Arial" w:hAnsi="Arial" w:cs="Arial"/>
          <w:sz w:val="20"/>
          <w:szCs w:val="20"/>
        </w:rPr>
        <w:t>. "A political economy model of sovereign debt repayment." M</w:t>
      </w:r>
      <w:r w:rsidR="00FD16A3">
        <w:rPr>
          <w:rFonts w:ascii="Arial" w:hAnsi="Arial" w:cs="Arial"/>
          <w:sz w:val="20"/>
          <w:szCs w:val="20"/>
        </w:rPr>
        <w:t xml:space="preserve">anuscript, Stanford University </w:t>
      </w:r>
    </w:p>
    <w:p w:rsidR="000221C5" w:rsidRDefault="000221C5" w:rsidP="000221C5">
      <w:pPr>
        <w:rPr>
          <w:rFonts w:ascii="Arial" w:hAnsi="Arial" w:cs="Arial"/>
          <w:sz w:val="20"/>
          <w:szCs w:val="20"/>
        </w:rPr>
      </w:pPr>
      <w:r w:rsidRPr="00094B47">
        <w:rPr>
          <w:rFonts w:ascii="Arial" w:hAnsi="Arial" w:cs="Arial"/>
          <w:sz w:val="20"/>
          <w:szCs w:val="20"/>
        </w:rPr>
        <w:t>Cole, Harold L., and Timothy J. Kehoe</w:t>
      </w:r>
      <w:r>
        <w:rPr>
          <w:rFonts w:ascii="Arial" w:hAnsi="Arial" w:cs="Arial"/>
          <w:sz w:val="20"/>
          <w:szCs w:val="20"/>
        </w:rPr>
        <w:t xml:space="preserve"> </w:t>
      </w:r>
      <w:r w:rsidRPr="00094B47">
        <w:rPr>
          <w:rFonts w:ascii="Arial" w:hAnsi="Arial" w:cs="Arial"/>
          <w:sz w:val="20"/>
          <w:szCs w:val="20"/>
        </w:rPr>
        <w:t xml:space="preserve">1996. "A self-fulfilling model of Mexico's 1994–1995 debt crisis." Journal of </w:t>
      </w:r>
      <w:r>
        <w:rPr>
          <w:rFonts w:ascii="Arial" w:hAnsi="Arial" w:cs="Arial"/>
          <w:sz w:val="20"/>
          <w:szCs w:val="20"/>
        </w:rPr>
        <w:t>international Economics 41.3-4</w:t>
      </w:r>
      <w:r w:rsidRPr="00094B47">
        <w:rPr>
          <w:rFonts w:ascii="Arial" w:hAnsi="Arial" w:cs="Arial"/>
          <w:sz w:val="20"/>
          <w:szCs w:val="20"/>
        </w:rPr>
        <w:t xml:space="preserve"> 309-330.</w:t>
      </w:r>
    </w:p>
    <w:p w:rsidR="000221C5" w:rsidRDefault="000221C5" w:rsidP="000221C5">
      <w:pPr>
        <w:rPr>
          <w:rFonts w:ascii="Arial" w:hAnsi="Arial" w:cs="Arial"/>
          <w:sz w:val="20"/>
          <w:szCs w:val="20"/>
        </w:rPr>
      </w:pPr>
      <w:r w:rsidRPr="009877E4">
        <w:rPr>
          <w:rFonts w:ascii="Arial" w:hAnsi="Arial" w:cs="Arial"/>
          <w:sz w:val="20"/>
          <w:szCs w:val="20"/>
        </w:rPr>
        <w:t>Morris, Stephen, and Hyun Song Shin</w:t>
      </w:r>
      <w:r>
        <w:rPr>
          <w:rFonts w:ascii="Arial" w:hAnsi="Arial" w:cs="Arial"/>
          <w:sz w:val="20"/>
          <w:szCs w:val="20"/>
        </w:rPr>
        <w:t xml:space="preserve"> </w:t>
      </w:r>
      <w:r w:rsidRPr="009877E4">
        <w:rPr>
          <w:rFonts w:ascii="Arial" w:hAnsi="Arial" w:cs="Arial"/>
          <w:sz w:val="20"/>
          <w:szCs w:val="20"/>
        </w:rPr>
        <w:t>1998. "Unique equilibrium in a model of self-fulfilling currency atta</w:t>
      </w:r>
      <w:r>
        <w:rPr>
          <w:rFonts w:ascii="Arial" w:hAnsi="Arial" w:cs="Arial"/>
          <w:sz w:val="20"/>
          <w:szCs w:val="20"/>
        </w:rPr>
        <w:t xml:space="preserve">cks." American Economic Review </w:t>
      </w:r>
      <w:r w:rsidRPr="009877E4">
        <w:rPr>
          <w:rFonts w:ascii="Arial" w:hAnsi="Arial" w:cs="Arial"/>
          <w:sz w:val="20"/>
          <w:szCs w:val="20"/>
        </w:rPr>
        <w:t>587-597.</w:t>
      </w:r>
    </w:p>
    <w:p w:rsidR="003943EF" w:rsidRDefault="003943EF" w:rsidP="003943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European Commission 2018: </w:t>
      </w:r>
      <w:r w:rsidRPr="00E165C1">
        <w:rPr>
          <w:rFonts w:ascii="Arial" w:hAnsi="Arial" w:cs="Arial"/>
          <w:sz w:val="20"/>
          <w:szCs w:val="20"/>
        </w:rPr>
        <w:t>Debt</w:t>
      </w:r>
      <w:r>
        <w:rPr>
          <w:rFonts w:ascii="Arial" w:hAnsi="Arial" w:cs="Arial"/>
          <w:sz w:val="20"/>
          <w:szCs w:val="20"/>
        </w:rPr>
        <w:t xml:space="preserve"> </w:t>
      </w:r>
      <w:r w:rsidRPr="00E165C1">
        <w:rPr>
          <w:rFonts w:ascii="Arial" w:hAnsi="Arial" w:cs="Arial"/>
          <w:sz w:val="20"/>
          <w:szCs w:val="20"/>
        </w:rPr>
        <w:t>Sustainability</w:t>
      </w:r>
      <w:r>
        <w:rPr>
          <w:rFonts w:ascii="Arial" w:hAnsi="Arial" w:cs="Arial"/>
          <w:sz w:val="20"/>
          <w:szCs w:val="20"/>
        </w:rPr>
        <w:t xml:space="preserve"> </w:t>
      </w:r>
      <w:r w:rsidRPr="00E165C1"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z w:val="20"/>
          <w:szCs w:val="20"/>
        </w:rPr>
        <w:t xml:space="preserve"> 2017, </w:t>
      </w:r>
      <w:r w:rsidRPr="00E165C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nstitutional</w:t>
      </w:r>
      <w:r w:rsidRPr="00E165C1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aper </w:t>
      </w:r>
      <w:r w:rsidRPr="00E165C1">
        <w:rPr>
          <w:rFonts w:ascii="Arial" w:hAnsi="Arial" w:cs="Arial"/>
          <w:sz w:val="20"/>
          <w:szCs w:val="20"/>
        </w:rPr>
        <w:t>071</w:t>
      </w:r>
    </w:p>
    <w:p w:rsidR="00DD54DA" w:rsidRPr="0037014E" w:rsidRDefault="00DD54DA" w:rsidP="0022404E">
      <w:pPr>
        <w:rPr>
          <w:rFonts w:ascii="Arial" w:hAnsi="Arial" w:cs="Arial"/>
          <w:sz w:val="20"/>
          <w:szCs w:val="20"/>
        </w:rPr>
      </w:pPr>
    </w:p>
    <w:p w:rsidR="000A157E" w:rsidRPr="004A007B" w:rsidRDefault="00A35639" w:rsidP="00563CA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7E3F12">
        <w:rPr>
          <w:rFonts w:ascii="Arial" w:hAnsi="Arial" w:cs="Arial"/>
          <w:b/>
          <w:sz w:val="20"/>
          <w:szCs w:val="20"/>
        </w:rPr>
        <w:t>ost</w:t>
      </w:r>
      <w:r>
        <w:rPr>
          <w:rFonts w:ascii="Arial" w:hAnsi="Arial" w:cs="Arial"/>
          <w:b/>
          <w:sz w:val="20"/>
          <w:szCs w:val="20"/>
        </w:rPr>
        <w:t>s</w:t>
      </w:r>
      <w:r w:rsidR="00D83D28">
        <w:rPr>
          <w:rFonts w:ascii="Arial" w:hAnsi="Arial" w:cs="Arial"/>
          <w:b/>
          <w:sz w:val="20"/>
          <w:szCs w:val="20"/>
        </w:rPr>
        <w:t xml:space="preserve"> of </w:t>
      </w:r>
      <w:r w:rsidR="00E61A38">
        <w:rPr>
          <w:rFonts w:ascii="Arial" w:hAnsi="Arial" w:cs="Arial"/>
          <w:b/>
          <w:sz w:val="20"/>
          <w:szCs w:val="20"/>
        </w:rPr>
        <w:t xml:space="preserve">sovereign </w:t>
      </w:r>
      <w:r w:rsidR="007E3F12">
        <w:rPr>
          <w:rFonts w:ascii="Arial" w:hAnsi="Arial" w:cs="Arial"/>
          <w:b/>
          <w:sz w:val="20"/>
          <w:szCs w:val="20"/>
        </w:rPr>
        <w:t>d</w:t>
      </w:r>
      <w:r w:rsidR="00D83D28">
        <w:rPr>
          <w:rFonts w:ascii="Arial" w:hAnsi="Arial" w:cs="Arial"/>
          <w:b/>
          <w:sz w:val="20"/>
          <w:szCs w:val="20"/>
        </w:rPr>
        <w:t>efault</w:t>
      </w:r>
      <w:r w:rsidR="004A007B" w:rsidRPr="004A007B">
        <w:rPr>
          <w:rFonts w:ascii="Arial" w:hAnsi="Arial" w:cs="Arial"/>
          <w:b/>
          <w:sz w:val="20"/>
          <w:szCs w:val="20"/>
        </w:rPr>
        <w:t xml:space="preserve"> </w:t>
      </w:r>
    </w:p>
    <w:p w:rsidR="000A157E" w:rsidRPr="00AD786B" w:rsidRDefault="000A157E" w:rsidP="000A157E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</w:p>
    <w:p w:rsidR="003855F4" w:rsidRPr="004031E7" w:rsidRDefault="003855F4" w:rsidP="003855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Harms, pp. 23</w:t>
      </w:r>
      <w:r w:rsidR="00DF2B4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- 249</w:t>
      </w:r>
    </w:p>
    <w:p w:rsidR="007F5C6E" w:rsidRDefault="007F5C6E" w:rsidP="0022404E">
      <w:pPr>
        <w:rPr>
          <w:rFonts w:ascii="Arial" w:hAnsi="Arial" w:cs="Arial"/>
          <w:sz w:val="20"/>
          <w:szCs w:val="20"/>
        </w:rPr>
      </w:pPr>
      <w:r w:rsidRPr="007F5C6E">
        <w:rPr>
          <w:rFonts w:ascii="Arial" w:hAnsi="Arial" w:cs="Arial"/>
          <w:sz w:val="20"/>
          <w:szCs w:val="20"/>
        </w:rPr>
        <w:t>Borensztein, Eduardo, and Ugo Panizza</w:t>
      </w:r>
      <w:r w:rsidR="002E6C84">
        <w:rPr>
          <w:rFonts w:ascii="Arial" w:hAnsi="Arial" w:cs="Arial"/>
          <w:sz w:val="20"/>
          <w:szCs w:val="20"/>
        </w:rPr>
        <w:t xml:space="preserve"> 2009</w:t>
      </w:r>
      <w:r w:rsidRPr="007F5C6E">
        <w:rPr>
          <w:rFonts w:ascii="Arial" w:hAnsi="Arial" w:cs="Arial"/>
          <w:sz w:val="20"/>
          <w:szCs w:val="20"/>
        </w:rPr>
        <w:t>. "The costs of sovereign default." IMF Staff Papers 56.4 683-741.</w:t>
      </w:r>
    </w:p>
    <w:p w:rsidR="0022404E" w:rsidRPr="00AD786B" w:rsidRDefault="0022404E" w:rsidP="002240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Optional </w:t>
      </w:r>
      <w:r w:rsidRPr="00AD786B">
        <w:rPr>
          <w:rFonts w:ascii="Arial" w:hAnsi="Arial" w:cs="Arial"/>
          <w:i/>
          <w:sz w:val="20"/>
          <w:szCs w:val="20"/>
        </w:rPr>
        <w:t>readings</w:t>
      </w:r>
    </w:p>
    <w:p w:rsidR="0022404E" w:rsidRDefault="002E4767" w:rsidP="0022404E">
      <w:pPr>
        <w:rPr>
          <w:rFonts w:ascii="Arial" w:hAnsi="Arial" w:cs="Arial"/>
          <w:sz w:val="20"/>
          <w:szCs w:val="20"/>
        </w:rPr>
      </w:pPr>
      <w:r w:rsidRPr="008274AA">
        <w:rPr>
          <w:rFonts w:ascii="Arial" w:hAnsi="Arial" w:cs="Arial"/>
          <w:sz w:val="20"/>
          <w:szCs w:val="20"/>
        </w:rPr>
        <w:t xml:space="preserve">Trebesch, Christoph, and Michael Zabel 2017. </w:t>
      </w:r>
      <w:r w:rsidRPr="002E4767">
        <w:rPr>
          <w:rFonts w:ascii="Arial" w:hAnsi="Arial" w:cs="Arial"/>
          <w:sz w:val="20"/>
          <w:szCs w:val="20"/>
        </w:rPr>
        <w:t>"The output costs of hard and soft sovereign default." European Economic Review 92 416-432.</w:t>
      </w:r>
    </w:p>
    <w:p w:rsidR="00C24725" w:rsidRDefault="00237E0C" w:rsidP="00BC4052">
      <w:pPr>
        <w:rPr>
          <w:rFonts w:ascii="Arial" w:hAnsi="Arial" w:cs="Arial"/>
          <w:sz w:val="20"/>
          <w:szCs w:val="20"/>
        </w:rPr>
      </w:pPr>
      <w:r w:rsidRPr="00237E0C">
        <w:rPr>
          <w:rFonts w:ascii="Arial" w:hAnsi="Arial" w:cs="Arial"/>
          <w:sz w:val="20"/>
          <w:szCs w:val="20"/>
        </w:rPr>
        <w:t>Broner, Fernando, Alberto Martin, and Jaume Ventura</w:t>
      </w:r>
      <w:r w:rsidR="007E2373">
        <w:rPr>
          <w:rFonts w:ascii="Arial" w:hAnsi="Arial" w:cs="Arial"/>
          <w:sz w:val="20"/>
          <w:szCs w:val="20"/>
        </w:rPr>
        <w:t xml:space="preserve"> 2010</w:t>
      </w:r>
      <w:r w:rsidRPr="00237E0C">
        <w:rPr>
          <w:rFonts w:ascii="Arial" w:hAnsi="Arial" w:cs="Arial"/>
          <w:sz w:val="20"/>
          <w:szCs w:val="20"/>
        </w:rPr>
        <w:t>. "Sovereign risk and secondary markets." American Economic Review 100.4 1523-55.</w:t>
      </w:r>
    </w:p>
    <w:p w:rsidR="00EA06E2" w:rsidRDefault="00EA06E2" w:rsidP="00BC4052">
      <w:pPr>
        <w:rPr>
          <w:rFonts w:ascii="Arial" w:hAnsi="Arial" w:cs="Arial"/>
          <w:sz w:val="20"/>
          <w:szCs w:val="20"/>
        </w:rPr>
      </w:pPr>
      <w:r w:rsidRPr="00EA06E2">
        <w:rPr>
          <w:rFonts w:ascii="Arial" w:hAnsi="Arial" w:cs="Arial"/>
          <w:sz w:val="20"/>
          <w:szCs w:val="20"/>
        </w:rPr>
        <w:t>Brutti, Filippo, and Philip Sauré</w:t>
      </w:r>
      <w:r>
        <w:rPr>
          <w:rFonts w:ascii="Arial" w:hAnsi="Arial" w:cs="Arial"/>
          <w:sz w:val="20"/>
          <w:szCs w:val="20"/>
        </w:rPr>
        <w:t xml:space="preserve"> 2016</w:t>
      </w:r>
      <w:r w:rsidRPr="00EA06E2">
        <w:rPr>
          <w:rFonts w:ascii="Arial" w:hAnsi="Arial" w:cs="Arial"/>
          <w:sz w:val="20"/>
          <w:szCs w:val="20"/>
        </w:rPr>
        <w:t xml:space="preserve"> "Repatriation of debt in the euro crisis." Journal of the European Economic Association 14.1 145-174. </w:t>
      </w:r>
    </w:p>
    <w:p w:rsidR="007C4656" w:rsidRDefault="007C4656" w:rsidP="007C4656">
      <w:pPr>
        <w:rPr>
          <w:rFonts w:ascii="Arial" w:hAnsi="Arial" w:cs="Arial"/>
          <w:sz w:val="20"/>
          <w:szCs w:val="20"/>
        </w:rPr>
      </w:pPr>
    </w:p>
    <w:p w:rsidR="007C4656" w:rsidRPr="004031E7" w:rsidRDefault="007C4656" w:rsidP="00BF5738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Contagion and Transmission </w:t>
      </w:r>
      <w:r w:rsidR="00963040">
        <w:rPr>
          <w:rFonts w:ascii="Arial" w:hAnsi="Arial" w:cs="Arial"/>
          <w:b/>
          <w:sz w:val="20"/>
          <w:szCs w:val="20"/>
        </w:rPr>
        <w:t>of Sovereign Default Risk</w:t>
      </w:r>
    </w:p>
    <w:p w:rsidR="007C4656" w:rsidRPr="00AD786B" w:rsidRDefault="007C4656" w:rsidP="007C4656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</w:p>
    <w:p w:rsidR="000221C5" w:rsidRPr="004031E7" w:rsidRDefault="000221C5" w:rsidP="00022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Harms, p 249 - 253</w:t>
      </w:r>
    </w:p>
    <w:p w:rsidR="00BC04A5" w:rsidRDefault="00BC04A5" w:rsidP="00BC04A5">
      <w:pPr>
        <w:rPr>
          <w:rFonts w:ascii="Arial" w:hAnsi="Arial" w:cs="Arial"/>
          <w:sz w:val="20"/>
          <w:szCs w:val="20"/>
        </w:rPr>
      </w:pPr>
      <w:r w:rsidRPr="007475A7">
        <w:rPr>
          <w:rFonts w:ascii="Arial" w:hAnsi="Arial" w:cs="Arial"/>
          <w:sz w:val="20"/>
          <w:szCs w:val="20"/>
        </w:rPr>
        <w:t>Kaminsky, Graciela L., and Carmen M. Reinhart</w:t>
      </w:r>
      <w:r w:rsidR="004D0F6E">
        <w:rPr>
          <w:rFonts w:ascii="Arial" w:hAnsi="Arial" w:cs="Arial"/>
          <w:sz w:val="20"/>
          <w:szCs w:val="20"/>
        </w:rPr>
        <w:t xml:space="preserve"> </w:t>
      </w:r>
      <w:r w:rsidR="004D0F6E" w:rsidRPr="007475A7">
        <w:rPr>
          <w:rFonts w:ascii="Arial" w:hAnsi="Arial" w:cs="Arial"/>
          <w:sz w:val="20"/>
          <w:szCs w:val="20"/>
        </w:rPr>
        <w:t>2000</w:t>
      </w:r>
      <w:r w:rsidRPr="007475A7">
        <w:rPr>
          <w:rFonts w:ascii="Arial" w:hAnsi="Arial" w:cs="Arial"/>
          <w:sz w:val="20"/>
          <w:szCs w:val="20"/>
        </w:rPr>
        <w:t xml:space="preserve">. "On crises, contagion, and confusion." Journal of </w:t>
      </w:r>
      <w:r w:rsidR="004D0F6E">
        <w:rPr>
          <w:rFonts w:ascii="Arial" w:hAnsi="Arial" w:cs="Arial"/>
          <w:sz w:val="20"/>
          <w:szCs w:val="20"/>
        </w:rPr>
        <w:t>international Economics 51.1</w:t>
      </w:r>
      <w:r w:rsidRPr="007475A7">
        <w:rPr>
          <w:rFonts w:ascii="Arial" w:hAnsi="Arial" w:cs="Arial"/>
          <w:sz w:val="20"/>
          <w:szCs w:val="20"/>
        </w:rPr>
        <w:t xml:space="preserve"> 145-168.</w:t>
      </w:r>
    </w:p>
    <w:p w:rsidR="007C4656" w:rsidRPr="00AD786B" w:rsidRDefault="007C4656" w:rsidP="007C46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Optional </w:t>
      </w:r>
      <w:r w:rsidRPr="00AD786B">
        <w:rPr>
          <w:rFonts w:ascii="Arial" w:hAnsi="Arial" w:cs="Arial"/>
          <w:i/>
          <w:sz w:val="20"/>
          <w:szCs w:val="20"/>
        </w:rPr>
        <w:t>readings</w:t>
      </w:r>
    </w:p>
    <w:p w:rsidR="007C4656" w:rsidRDefault="00676054" w:rsidP="007C4656">
      <w:pPr>
        <w:rPr>
          <w:rFonts w:ascii="Arial" w:hAnsi="Arial" w:cs="Arial"/>
          <w:sz w:val="20"/>
          <w:szCs w:val="20"/>
        </w:rPr>
      </w:pPr>
      <w:r w:rsidRPr="00676054">
        <w:rPr>
          <w:rFonts w:ascii="Arial" w:hAnsi="Arial" w:cs="Arial"/>
          <w:sz w:val="20"/>
          <w:szCs w:val="20"/>
        </w:rPr>
        <w:t>Forbes, Kristin J., and Roberto Rigobon</w:t>
      </w:r>
      <w:r w:rsidR="004D0F6E">
        <w:rPr>
          <w:rFonts w:ascii="Arial" w:hAnsi="Arial" w:cs="Arial"/>
          <w:sz w:val="20"/>
          <w:szCs w:val="20"/>
        </w:rPr>
        <w:t xml:space="preserve"> 2002</w:t>
      </w:r>
      <w:r w:rsidRPr="00676054">
        <w:rPr>
          <w:rFonts w:ascii="Arial" w:hAnsi="Arial" w:cs="Arial"/>
          <w:sz w:val="20"/>
          <w:szCs w:val="20"/>
        </w:rPr>
        <w:t>. "No contagion, only interdependence: measuring stock market comovements." The journal of Finance 57.5 2223-2261.</w:t>
      </w:r>
    </w:p>
    <w:p w:rsidR="009C23DF" w:rsidRDefault="00676054" w:rsidP="00781804">
      <w:pPr>
        <w:rPr>
          <w:rFonts w:ascii="Arial" w:hAnsi="Arial" w:cs="Arial"/>
          <w:sz w:val="20"/>
          <w:szCs w:val="20"/>
        </w:rPr>
      </w:pPr>
      <w:r w:rsidRPr="00676054">
        <w:rPr>
          <w:rFonts w:ascii="Arial" w:hAnsi="Arial" w:cs="Arial"/>
          <w:sz w:val="20"/>
          <w:szCs w:val="20"/>
        </w:rPr>
        <w:t>Corsetti, Giancarlo, Marcello Pericoli, and Massimo Sbracia</w:t>
      </w:r>
      <w:r w:rsidR="004D0F6E">
        <w:rPr>
          <w:rFonts w:ascii="Arial" w:hAnsi="Arial" w:cs="Arial"/>
          <w:sz w:val="20"/>
          <w:szCs w:val="20"/>
        </w:rPr>
        <w:t xml:space="preserve"> 2005</w:t>
      </w:r>
      <w:r w:rsidRPr="00676054">
        <w:rPr>
          <w:rFonts w:ascii="Arial" w:hAnsi="Arial" w:cs="Arial"/>
          <w:sz w:val="20"/>
          <w:szCs w:val="20"/>
        </w:rPr>
        <w:t>. "‘Some contagion, some interdependence’: More pitfalls in tests of financial contagion." Journal of International Money and Finance 24.8 1177-1199.</w:t>
      </w:r>
    </w:p>
    <w:p w:rsidR="00676054" w:rsidRDefault="00A02A6D" w:rsidP="00781804">
      <w:pPr>
        <w:rPr>
          <w:rFonts w:ascii="Arial" w:hAnsi="Arial" w:cs="Arial"/>
          <w:sz w:val="20"/>
          <w:szCs w:val="20"/>
        </w:rPr>
      </w:pPr>
      <w:r w:rsidRPr="00E72CC0">
        <w:rPr>
          <w:rFonts w:ascii="Arial" w:hAnsi="Arial" w:cs="Arial"/>
          <w:sz w:val="20"/>
          <w:szCs w:val="20"/>
        </w:rPr>
        <w:t>Forbes, Kristin J., and Menzie D. Chinn</w:t>
      </w:r>
      <w:r w:rsidR="00774741">
        <w:rPr>
          <w:rFonts w:ascii="Arial" w:hAnsi="Arial" w:cs="Arial"/>
          <w:sz w:val="20"/>
          <w:szCs w:val="20"/>
        </w:rPr>
        <w:t xml:space="preserve"> 2004</w:t>
      </w:r>
      <w:r w:rsidRPr="00E72CC0">
        <w:rPr>
          <w:rFonts w:ascii="Arial" w:hAnsi="Arial" w:cs="Arial"/>
          <w:sz w:val="20"/>
          <w:szCs w:val="20"/>
        </w:rPr>
        <w:t xml:space="preserve">. </w:t>
      </w:r>
      <w:r w:rsidRPr="00A02A6D">
        <w:rPr>
          <w:rFonts w:ascii="Arial" w:hAnsi="Arial" w:cs="Arial"/>
          <w:sz w:val="20"/>
          <w:szCs w:val="20"/>
        </w:rPr>
        <w:t>"A decomposition of global linkages in financial markets over time." Review of economics and statistics 86.3 705-722.</w:t>
      </w:r>
    </w:p>
    <w:p w:rsidR="00723EAD" w:rsidRDefault="00723EAD" w:rsidP="00723EAD">
      <w:pPr>
        <w:rPr>
          <w:rFonts w:ascii="Arial" w:hAnsi="Arial" w:cs="Arial"/>
          <w:sz w:val="20"/>
          <w:szCs w:val="20"/>
        </w:rPr>
      </w:pPr>
      <w:r w:rsidRPr="00624BE7">
        <w:rPr>
          <w:rFonts w:ascii="Arial" w:hAnsi="Arial" w:cs="Arial"/>
          <w:sz w:val="20"/>
          <w:szCs w:val="20"/>
        </w:rPr>
        <w:t>Brutti, Filippo, and Philip Sauré</w:t>
      </w:r>
      <w:r w:rsidR="00754C24">
        <w:rPr>
          <w:rFonts w:ascii="Arial" w:hAnsi="Arial" w:cs="Arial"/>
          <w:sz w:val="20"/>
          <w:szCs w:val="20"/>
        </w:rPr>
        <w:t xml:space="preserve"> 2015</w:t>
      </w:r>
      <w:r w:rsidRPr="00624BE7">
        <w:rPr>
          <w:rFonts w:ascii="Arial" w:hAnsi="Arial" w:cs="Arial"/>
          <w:sz w:val="20"/>
          <w:szCs w:val="20"/>
        </w:rPr>
        <w:t>. "Transmission of sovereign risk in the euro crisis." Journal of Inter</w:t>
      </w:r>
      <w:r w:rsidR="00754C24">
        <w:rPr>
          <w:rFonts w:ascii="Arial" w:hAnsi="Arial" w:cs="Arial"/>
          <w:sz w:val="20"/>
          <w:szCs w:val="20"/>
        </w:rPr>
        <w:t xml:space="preserve">national Economics 97.2 </w:t>
      </w:r>
      <w:r w:rsidRPr="00624BE7">
        <w:rPr>
          <w:rFonts w:ascii="Arial" w:hAnsi="Arial" w:cs="Arial"/>
          <w:sz w:val="20"/>
          <w:szCs w:val="20"/>
        </w:rPr>
        <w:t>231-248.</w:t>
      </w:r>
    </w:p>
    <w:p w:rsidR="007475A7" w:rsidRDefault="007475A7" w:rsidP="00781804">
      <w:pPr>
        <w:rPr>
          <w:rFonts w:ascii="Arial" w:hAnsi="Arial" w:cs="Arial"/>
          <w:sz w:val="20"/>
          <w:szCs w:val="20"/>
        </w:rPr>
      </w:pPr>
    </w:p>
    <w:p w:rsidR="000221C5" w:rsidRDefault="000221C5" w:rsidP="0017599A">
      <w:pPr>
        <w:rPr>
          <w:rFonts w:ascii="Arial" w:hAnsi="Arial" w:cs="Arial"/>
          <w:b/>
          <w:sz w:val="20"/>
          <w:szCs w:val="20"/>
        </w:rPr>
      </w:pPr>
    </w:p>
    <w:p w:rsidR="006E34C9" w:rsidRDefault="00B23459" w:rsidP="00175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Readings:</w:t>
      </w:r>
    </w:p>
    <w:p w:rsidR="00AD06DC" w:rsidRDefault="00E55396" w:rsidP="0017599A">
      <w:pPr>
        <w:rPr>
          <w:rFonts w:ascii="Arial" w:hAnsi="Arial" w:cs="Arial"/>
          <w:sz w:val="20"/>
          <w:szCs w:val="20"/>
        </w:rPr>
      </w:pPr>
      <w:r w:rsidRPr="0025440C">
        <w:rPr>
          <w:rFonts w:ascii="Arial" w:hAnsi="Arial" w:cs="Arial"/>
          <w:sz w:val="20"/>
          <w:szCs w:val="20"/>
        </w:rPr>
        <w:t>Reinhart, Carmen M., and Kenneth S. Rogoff</w:t>
      </w:r>
      <w:r w:rsidR="00251E17" w:rsidRPr="0025440C">
        <w:rPr>
          <w:rFonts w:ascii="Arial" w:hAnsi="Arial" w:cs="Arial"/>
          <w:sz w:val="20"/>
          <w:szCs w:val="20"/>
        </w:rPr>
        <w:t xml:space="preserve"> 2009</w:t>
      </w:r>
      <w:r w:rsidRPr="0025440C">
        <w:rPr>
          <w:rFonts w:ascii="Arial" w:hAnsi="Arial" w:cs="Arial"/>
          <w:sz w:val="20"/>
          <w:szCs w:val="20"/>
        </w:rPr>
        <w:t xml:space="preserve">. </w:t>
      </w:r>
      <w:r w:rsidRPr="00E55396">
        <w:rPr>
          <w:rFonts w:ascii="Arial" w:hAnsi="Arial" w:cs="Arial"/>
          <w:sz w:val="20"/>
          <w:szCs w:val="20"/>
        </w:rPr>
        <w:t>This time is different: Eight centuries of financial folly. princeton university press</w:t>
      </w:r>
    </w:p>
    <w:p w:rsidR="00A77233" w:rsidRPr="00E55396" w:rsidRDefault="00A77233" w:rsidP="0017599A">
      <w:pPr>
        <w:rPr>
          <w:rFonts w:ascii="Arial" w:hAnsi="Arial" w:cs="Arial"/>
          <w:sz w:val="20"/>
          <w:szCs w:val="20"/>
        </w:rPr>
      </w:pPr>
    </w:p>
    <w:sectPr w:rsidR="00A77233" w:rsidRPr="00E5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74" w:rsidRDefault="00AD6274" w:rsidP="00B5546A">
      <w:pPr>
        <w:spacing w:after="0" w:line="240" w:lineRule="auto"/>
      </w:pPr>
      <w:r>
        <w:separator/>
      </w:r>
    </w:p>
  </w:endnote>
  <w:endnote w:type="continuationSeparator" w:id="0">
    <w:p w:rsidR="00AD6274" w:rsidRDefault="00AD6274" w:rsidP="00B5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74" w:rsidRDefault="00AD6274" w:rsidP="00B5546A">
      <w:pPr>
        <w:spacing w:after="0" w:line="240" w:lineRule="auto"/>
      </w:pPr>
      <w:r>
        <w:separator/>
      </w:r>
    </w:p>
  </w:footnote>
  <w:footnote w:type="continuationSeparator" w:id="0">
    <w:p w:rsidR="00AD6274" w:rsidRDefault="00AD6274" w:rsidP="00B5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B24"/>
    <w:multiLevelType w:val="hybridMultilevel"/>
    <w:tmpl w:val="041A96D6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DD2"/>
    <w:multiLevelType w:val="hybridMultilevel"/>
    <w:tmpl w:val="1814147A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8E2"/>
    <w:multiLevelType w:val="hybridMultilevel"/>
    <w:tmpl w:val="64F6B65C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4D71"/>
    <w:multiLevelType w:val="hybridMultilevel"/>
    <w:tmpl w:val="D1728B52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2F4C"/>
    <w:multiLevelType w:val="hybridMultilevel"/>
    <w:tmpl w:val="697C20EA"/>
    <w:lvl w:ilvl="0" w:tplc="446EB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75DA"/>
    <w:multiLevelType w:val="hybridMultilevel"/>
    <w:tmpl w:val="1EB2D20A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3D29"/>
    <w:multiLevelType w:val="hybridMultilevel"/>
    <w:tmpl w:val="FE780CC4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20E8"/>
    <w:multiLevelType w:val="hybridMultilevel"/>
    <w:tmpl w:val="164A990A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E76"/>
    <w:multiLevelType w:val="hybridMultilevel"/>
    <w:tmpl w:val="D1728B52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3658"/>
    <w:multiLevelType w:val="hybridMultilevel"/>
    <w:tmpl w:val="DE32D638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30578"/>
    <w:multiLevelType w:val="hybridMultilevel"/>
    <w:tmpl w:val="4536977C"/>
    <w:lvl w:ilvl="0" w:tplc="23C0C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413DC"/>
    <w:multiLevelType w:val="hybridMultilevel"/>
    <w:tmpl w:val="A36ACA18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47"/>
    <w:rsid w:val="000022F0"/>
    <w:rsid w:val="0000613F"/>
    <w:rsid w:val="00013F66"/>
    <w:rsid w:val="00015B5F"/>
    <w:rsid w:val="000221C5"/>
    <w:rsid w:val="000231A7"/>
    <w:rsid w:val="0002647F"/>
    <w:rsid w:val="000339F9"/>
    <w:rsid w:val="00035C6C"/>
    <w:rsid w:val="000377D1"/>
    <w:rsid w:val="00053026"/>
    <w:rsid w:val="00053656"/>
    <w:rsid w:val="00055E3F"/>
    <w:rsid w:val="00056531"/>
    <w:rsid w:val="00061E4C"/>
    <w:rsid w:val="00087061"/>
    <w:rsid w:val="000914A3"/>
    <w:rsid w:val="0009458A"/>
    <w:rsid w:val="00094B47"/>
    <w:rsid w:val="00095C85"/>
    <w:rsid w:val="000A157E"/>
    <w:rsid w:val="000A6535"/>
    <w:rsid w:val="000B2C3A"/>
    <w:rsid w:val="000B3550"/>
    <w:rsid w:val="000B5C23"/>
    <w:rsid w:val="000C251D"/>
    <w:rsid w:val="000C4980"/>
    <w:rsid w:val="000C685C"/>
    <w:rsid w:val="000D6F04"/>
    <w:rsid w:val="000E159E"/>
    <w:rsid w:val="000E5618"/>
    <w:rsid w:val="00100066"/>
    <w:rsid w:val="00120323"/>
    <w:rsid w:val="00123D55"/>
    <w:rsid w:val="00125E38"/>
    <w:rsid w:val="00127253"/>
    <w:rsid w:val="001330D4"/>
    <w:rsid w:val="0014697B"/>
    <w:rsid w:val="00150265"/>
    <w:rsid w:val="00155092"/>
    <w:rsid w:val="00155373"/>
    <w:rsid w:val="001638D0"/>
    <w:rsid w:val="00166D6F"/>
    <w:rsid w:val="00167F15"/>
    <w:rsid w:val="00167F29"/>
    <w:rsid w:val="0017083D"/>
    <w:rsid w:val="001746CD"/>
    <w:rsid w:val="0017599A"/>
    <w:rsid w:val="00175F2E"/>
    <w:rsid w:val="00182308"/>
    <w:rsid w:val="00185229"/>
    <w:rsid w:val="00193E81"/>
    <w:rsid w:val="001A381C"/>
    <w:rsid w:val="001B194E"/>
    <w:rsid w:val="001B3F5E"/>
    <w:rsid w:val="001D375E"/>
    <w:rsid w:val="001F5433"/>
    <w:rsid w:val="00202279"/>
    <w:rsid w:val="00204EDD"/>
    <w:rsid w:val="0020780E"/>
    <w:rsid w:val="00212BBB"/>
    <w:rsid w:val="00221038"/>
    <w:rsid w:val="0022314E"/>
    <w:rsid w:val="0022404E"/>
    <w:rsid w:val="00225A52"/>
    <w:rsid w:val="002261D6"/>
    <w:rsid w:val="00227AAD"/>
    <w:rsid w:val="00232108"/>
    <w:rsid w:val="00237E0C"/>
    <w:rsid w:val="002457E8"/>
    <w:rsid w:val="00250B4B"/>
    <w:rsid w:val="00251E17"/>
    <w:rsid w:val="002526D9"/>
    <w:rsid w:val="0025440C"/>
    <w:rsid w:val="00257B18"/>
    <w:rsid w:val="00262804"/>
    <w:rsid w:val="002644A7"/>
    <w:rsid w:val="00283E5D"/>
    <w:rsid w:val="00285293"/>
    <w:rsid w:val="00292B16"/>
    <w:rsid w:val="00292E49"/>
    <w:rsid w:val="00297943"/>
    <w:rsid w:val="002A5DCA"/>
    <w:rsid w:val="002B70B1"/>
    <w:rsid w:val="002C3ADD"/>
    <w:rsid w:val="002D207E"/>
    <w:rsid w:val="002D289E"/>
    <w:rsid w:val="002E4767"/>
    <w:rsid w:val="002E6C84"/>
    <w:rsid w:val="002F6CFF"/>
    <w:rsid w:val="002F72B9"/>
    <w:rsid w:val="00300487"/>
    <w:rsid w:val="003029DE"/>
    <w:rsid w:val="003031A6"/>
    <w:rsid w:val="00304166"/>
    <w:rsid w:val="003059D8"/>
    <w:rsid w:val="00310C02"/>
    <w:rsid w:val="0031330B"/>
    <w:rsid w:val="00334BF3"/>
    <w:rsid w:val="00345B66"/>
    <w:rsid w:val="003465F2"/>
    <w:rsid w:val="0035043B"/>
    <w:rsid w:val="00360BF2"/>
    <w:rsid w:val="0037014E"/>
    <w:rsid w:val="00382EBA"/>
    <w:rsid w:val="00384928"/>
    <w:rsid w:val="003855F4"/>
    <w:rsid w:val="0038585C"/>
    <w:rsid w:val="003943EF"/>
    <w:rsid w:val="003A064A"/>
    <w:rsid w:val="003A35ED"/>
    <w:rsid w:val="003B0B72"/>
    <w:rsid w:val="003C453B"/>
    <w:rsid w:val="003C4EAD"/>
    <w:rsid w:val="003D11BC"/>
    <w:rsid w:val="003F2FEF"/>
    <w:rsid w:val="003F4D9C"/>
    <w:rsid w:val="004031E7"/>
    <w:rsid w:val="00404325"/>
    <w:rsid w:val="00404AAB"/>
    <w:rsid w:val="004072E3"/>
    <w:rsid w:val="00410057"/>
    <w:rsid w:val="004128CA"/>
    <w:rsid w:val="00414581"/>
    <w:rsid w:val="00414585"/>
    <w:rsid w:val="00432767"/>
    <w:rsid w:val="004372D8"/>
    <w:rsid w:val="00441CD7"/>
    <w:rsid w:val="00445264"/>
    <w:rsid w:val="00450148"/>
    <w:rsid w:val="004653B0"/>
    <w:rsid w:val="004741B5"/>
    <w:rsid w:val="00490BD8"/>
    <w:rsid w:val="004910B6"/>
    <w:rsid w:val="00492DA2"/>
    <w:rsid w:val="004A007B"/>
    <w:rsid w:val="004A0AEE"/>
    <w:rsid w:val="004B41C7"/>
    <w:rsid w:val="004C5947"/>
    <w:rsid w:val="004D0F6E"/>
    <w:rsid w:val="004D61BA"/>
    <w:rsid w:val="004D7B2D"/>
    <w:rsid w:val="004E0E2B"/>
    <w:rsid w:val="004E2C08"/>
    <w:rsid w:val="004E2D1A"/>
    <w:rsid w:val="004E797D"/>
    <w:rsid w:val="004F089C"/>
    <w:rsid w:val="005054AF"/>
    <w:rsid w:val="005202A4"/>
    <w:rsid w:val="00522F86"/>
    <w:rsid w:val="00530E0A"/>
    <w:rsid w:val="00530F90"/>
    <w:rsid w:val="005347D0"/>
    <w:rsid w:val="005375B0"/>
    <w:rsid w:val="0054126F"/>
    <w:rsid w:val="0054441E"/>
    <w:rsid w:val="00547D12"/>
    <w:rsid w:val="005557B8"/>
    <w:rsid w:val="005615E1"/>
    <w:rsid w:val="00571A35"/>
    <w:rsid w:val="0057523B"/>
    <w:rsid w:val="0057658C"/>
    <w:rsid w:val="00580E63"/>
    <w:rsid w:val="00582759"/>
    <w:rsid w:val="00585E01"/>
    <w:rsid w:val="00591B0F"/>
    <w:rsid w:val="005A238C"/>
    <w:rsid w:val="005A541C"/>
    <w:rsid w:val="005A5AEA"/>
    <w:rsid w:val="005B33C1"/>
    <w:rsid w:val="005C0A5D"/>
    <w:rsid w:val="005C423B"/>
    <w:rsid w:val="005C7DC3"/>
    <w:rsid w:val="005D1152"/>
    <w:rsid w:val="005D3063"/>
    <w:rsid w:val="005E2A4C"/>
    <w:rsid w:val="005E764D"/>
    <w:rsid w:val="00624BE7"/>
    <w:rsid w:val="0064022E"/>
    <w:rsid w:val="0064087F"/>
    <w:rsid w:val="006410C8"/>
    <w:rsid w:val="00654318"/>
    <w:rsid w:val="00661A66"/>
    <w:rsid w:val="00676054"/>
    <w:rsid w:val="00676881"/>
    <w:rsid w:val="00683399"/>
    <w:rsid w:val="00683CAD"/>
    <w:rsid w:val="00686DC1"/>
    <w:rsid w:val="006902DF"/>
    <w:rsid w:val="00693F3C"/>
    <w:rsid w:val="00695693"/>
    <w:rsid w:val="00696847"/>
    <w:rsid w:val="006A4F82"/>
    <w:rsid w:val="006A5BD4"/>
    <w:rsid w:val="006B6F39"/>
    <w:rsid w:val="006E34C9"/>
    <w:rsid w:val="006E3BC5"/>
    <w:rsid w:val="006E461C"/>
    <w:rsid w:val="00701822"/>
    <w:rsid w:val="007152AE"/>
    <w:rsid w:val="00723EAD"/>
    <w:rsid w:val="007314F8"/>
    <w:rsid w:val="007402B2"/>
    <w:rsid w:val="0074718E"/>
    <w:rsid w:val="007475A7"/>
    <w:rsid w:val="00750183"/>
    <w:rsid w:val="00753AE0"/>
    <w:rsid w:val="00753DC1"/>
    <w:rsid w:val="00754C24"/>
    <w:rsid w:val="00760161"/>
    <w:rsid w:val="00763BC3"/>
    <w:rsid w:val="00772881"/>
    <w:rsid w:val="00774741"/>
    <w:rsid w:val="00781804"/>
    <w:rsid w:val="00794698"/>
    <w:rsid w:val="00797F43"/>
    <w:rsid w:val="007A2049"/>
    <w:rsid w:val="007B6EBC"/>
    <w:rsid w:val="007C4656"/>
    <w:rsid w:val="007C65B0"/>
    <w:rsid w:val="007D0D37"/>
    <w:rsid w:val="007D2F95"/>
    <w:rsid w:val="007E2373"/>
    <w:rsid w:val="007E3F12"/>
    <w:rsid w:val="007E40D3"/>
    <w:rsid w:val="007F4090"/>
    <w:rsid w:val="007F4ED6"/>
    <w:rsid w:val="007F5C6E"/>
    <w:rsid w:val="00810B02"/>
    <w:rsid w:val="0081792B"/>
    <w:rsid w:val="008232F3"/>
    <w:rsid w:val="008274AA"/>
    <w:rsid w:val="00830482"/>
    <w:rsid w:val="0083424E"/>
    <w:rsid w:val="00840D1A"/>
    <w:rsid w:val="008622A1"/>
    <w:rsid w:val="008640A6"/>
    <w:rsid w:val="008663FA"/>
    <w:rsid w:val="00867648"/>
    <w:rsid w:val="0087512A"/>
    <w:rsid w:val="00881624"/>
    <w:rsid w:val="0088689A"/>
    <w:rsid w:val="00890CF1"/>
    <w:rsid w:val="00892C22"/>
    <w:rsid w:val="00893E80"/>
    <w:rsid w:val="008A7683"/>
    <w:rsid w:val="008B1801"/>
    <w:rsid w:val="008B3254"/>
    <w:rsid w:val="008B5011"/>
    <w:rsid w:val="008B683E"/>
    <w:rsid w:val="008C1ECC"/>
    <w:rsid w:val="008C2098"/>
    <w:rsid w:val="008C213B"/>
    <w:rsid w:val="008C2C65"/>
    <w:rsid w:val="008C7347"/>
    <w:rsid w:val="008D4FAA"/>
    <w:rsid w:val="008D5637"/>
    <w:rsid w:val="008E33B7"/>
    <w:rsid w:val="008F6767"/>
    <w:rsid w:val="00903ED1"/>
    <w:rsid w:val="0090750F"/>
    <w:rsid w:val="0091090C"/>
    <w:rsid w:val="00912BF1"/>
    <w:rsid w:val="00924F83"/>
    <w:rsid w:val="00926AEC"/>
    <w:rsid w:val="00930F12"/>
    <w:rsid w:val="00932657"/>
    <w:rsid w:val="00935D7E"/>
    <w:rsid w:val="00945492"/>
    <w:rsid w:val="00954F49"/>
    <w:rsid w:val="00963040"/>
    <w:rsid w:val="0097430B"/>
    <w:rsid w:val="009748A8"/>
    <w:rsid w:val="00976AF1"/>
    <w:rsid w:val="009813B5"/>
    <w:rsid w:val="00984517"/>
    <w:rsid w:val="009877E4"/>
    <w:rsid w:val="00991985"/>
    <w:rsid w:val="00991F72"/>
    <w:rsid w:val="00993B78"/>
    <w:rsid w:val="009A18A0"/>
    <w:rsid w:val="009A257E"/>
    <w:rsid w:val="009A3053"/>
    <w:rsid w:val="009A5068"/>
    <w:rsid w:val="009A6DD4"/>
    <w:rsid w:val="009B41D3"/>
    <w:rsid w:val="009C23DF"/>
    <w:rsid w:val="009C5EE0"/>
    <w:rsid w:val="009E0EED"/>
    <w:rsid w:val="009E2809"/>
    <w:rsid w:val="009E3650"/>
    <w:rsid w:val="009E3767"/>
    <w:rsid w:val="009E5342"/>
    <w:rsid w:val="00A02A6D"/>
    <w:rsid w:val="00A07051"/>
    <w:rsid w:val="00A1056B"/>
    <w:rsid w:val="00A10E81"/>
    <w:rsid w:val="00A31E06"/>
    <w:rsid w:val="00A35639"/>
    <w:rsid w:val="00A426A3"/>
    <w:rsid w:val="00A4487E"/>
    <w:rsid w:val="00A46DAB"/>
    <w:rsid w:val="00A47E9A"/>
    <w:rsid w:val="00A762C7"/>
    <w:rsid w:val="00A77233"/>
    <w:rsid w:val="00A77684"/>
    <w:rsid w:val="00A84332"/>
    <w:rsid w:val="00A91AB1"/>
    <w:rsid w:val="00A964FE"/>
    <w:rsid w:val="00A97F66"/>
    <w:rsid w:val="00AA2FF8"/>
    <w:rsid w:val="00AA35B4"/>
    <w:rsid w:val="00AA6157"/>
    <w:rsid w:val="00AB48CB"/>
    <w:rsid w:val="00AB4AA8"/>
    <w:rsid w:val="00AB5EB5"/>
    <w:rsid w:val="00AD06DC"/>
    <w:rsid w:val="00AD42BD"/>
    <w:rsid w:val="00AD6274"/>
    <w:rsid w:val="00AD786B"/>
    <w:rsid w:val="00AF257A"/>
    <w:rsid w:val="00AF53CA"/>
    <w:rsid w:val="00B03CA1"/>
    <w:rsid w:val="00B138EC"/>
    <w:rsid w:val="00B23459"/>
    <w:rsid w:val="00B253D5"/>
    <w:rsid w:val="00B362A1"/>
    <w:rsid w:val="00B41EC6"/>
    <w:rsid w:val="00B46CD6"/>
    <w:rsid w:val="00B5023A"/>
    <w:rsid w:val="00B50D53"/>
    <w:rsid w:val="00B54CB4"/>
    <w:rsid w:val="00B5546A"/>
    <w:rsid w:val="00B57B7B"/>
    <w:rsid w:val="00B65593"/>
    <w:rsid w:val="00B6617F"/>
    <w:rsid w:val="00B77D6D"/>
    <w:rsid w:val="00B804F3"/>
    <w:rsid w:val="00B84BF4"/>
    <w:rsid w:val="00B87B99"/>
    <w:rsid w:val="00B90165"/>
    <w:rsid w:val="00BA5B70"/>
    <w:rsid w:val="00BB2ADE"/>
    <w:rsid w:val="00BB34C2"/>
    <w:rsid w:val="00BB5291"/>
    <w:rsid w:val="00BB76EF"/>
    <w:rsid w:val="00BC04A5"/>
    <w:rsid w:val="00BC4052"/>
    <w:rsid w:val="00BD1A67"/>
    <w:rsid w:val="00BE20DA"/>
    <w:rsid w:val="00BE51B4"/>
    <w:rsid w:val="00BF5738"/>
    <w:rsid w:val="00BF6AAD"/>
    <w:rsid w:val="00BF6B17"/>
    <w:rsid w:val="00C00CF6"/>
    <w:rsid w:val="00C0484D"/>
    <w:rsid w:val="00C06D79"/>
    <w:rsid w:val="00C07279"/>
    <w:rsid w:val="00C24725"/>
    <w:rsid w:val="00C2485F"/>
    <w:rsid w:val="00C30F36"/>
    <w:rsid w:val="00C32C20"/>
    <w:rsid w:val="00C339B7"/>
    <w:rsid w:val="00C34B85"/>
    <w:rsid w:val="00C4617D"/>
    <w:rsid w:val="00C64BF1"/>
    <w:rsid w:val="00C75262"/>
    <w:rsid w:val="00C801AD"/>
    <w:rsid w:val="00C834D6"/>
    <w:rsid w:val="00C84646"/>
    <w:rsid w:val="00CB2CF5"/>
    <w:rsid w:val="00CB6EF2"/>
    <w:rsid w:val="00CB7DCE"/>
    <w:rsid w:val="00CC2966"/>
    <w:rsid w:val="00CC49BF"/>
    <w:rsid w:val="00CC501B"/>
    <w:rsid w:val="00CD6CC1"/>
    <w:rsid w:val="00CD7326"/>
    <w:rsid w:val="00CF4266"/>
    <w:rsid w:val="00CF65B1"/>
    <w:rsid w:val="00CF6F6C"/>
    <w:rsid w:val="00D11CD4"/>
    <w:rsid w:val="00D216F9"/>
    <w:rsid w:val="00D236A7"/>
    <w:rsid w:val="00D2758E"/>
    <w:rsid w:val="00D27E42"/>
    <w:rsid w:val="00D40E9E"/>
    <w:rsid w:val="00D4254F"/>
    <w:rsid w:val="00D42DF2"/>
    <w:rsid w:val="00D47783"/>
    <w:rsid w:val="00D50912"/>
    <w:rsid w:val="00D52CF9"/>
    <w:rsid w:val="00D60FCA"/>
    <w:rsid w:val="00D705DC"/>
    <w:rsid w:val="00D7692B"/>
    <w:rsid w:val="00D77B7C"/>
    <w:rsid w:val="00D83D28"/>
    <w:rsid w:val="00D918B8"/>
    <w:rsid w:val="00D91A63"/>
    <w:rsid w:val="00D931F0"/>
    <w:rsid w:val="00D94318"/>
    <w:rsid w:val="00D960BB"/>
    <w:rsid w:val="00DA0671"/>
    <w:rsid w:val="00DA349E"/>
    <w:rsid w:val="00DA433E"/>
    <w:rsid w:val="00DA5418"/>
    <w:rsid w:val="00DB0ED7"/>
    <w:rsid w:val="00DB1A0F"/>
    <w:rsid w:val="00DB2D4F"/>
    <w:rsid w:val="00DB5AA4"/>
    <w:rsid w:val="00DC7604"/>
    <w:rsid w:val="00DD54DA"/>
    <w:rsid w:val="00DE2144"/>
    <w:rsid w:val="00DF2B4B"/>
    <w:rsid w:val="00E04118"/>
    <w:rsid w:val="00E13BC0"/>
    <w:rsid w:val="00E16461"/>
    <w:rsid w:val="00E165C1"/>
    <w:rsid w:val="00E20C50"/>
    <w:rsid w:val="00E2257B"/>
    <w:rsid w:val="00E25816"/>
    <w:rsid w:val="00E32495"/>
    <w:rsid w:val="00E47405"/>
    <w:rsid w:val="00E55396"/>
    <w:rsid w:val="00E61A38"/>
    <w:rsid w:val="00E72CC0"/>
    <w:rsid w:val="00E741DF"/>
    <w:rsid w:val="00E87523"/>
    <w:rsid w:val="00E929CE"/>
    <w:rsid w:val="00EA06E2"/>
    <w:rsid w:val="00EA2742"/>
    <w:rsid w:val="00EB0231"/>
    <w:rsid w:val="00EB3560"/>
    <w:rsid w:val="00EC2BB3"/>
    <w:rsid w:val="00ED0855"/>
    <w:rsid w:val="00EE37CF"/>
    <w:rsid w:val="00EE5A9E"/>
    <w:rsid w:val="00F0125A"/>
    <w:rsid w:val="00F04C11"/>
    <w:rsid w:val="00F04FFA"/>
    <w:rsid w:val="00F14854"/>
    <w:rsid w:val="00F1604F"/>
    <w:rsid w:val="00F232C8"/>
    <w:rsid w:val="00F25CF2"/>
    <w:rsid w:val="00F31A31"/>
    <w:rsid w:val="00F42999"/>
    <w:rsid w:val="00F60A40"/>
    <w:rsid w:val="00F65B71"/>
    <w:rsid w:val="00F7009A"/>
    <w:rsid w:val="00F8558C"/>
    <w:rsid w:val="00F85678"/>
    <w:rsid w:val="00F93C61"/>
    <w:rsid w:val="00F97854"/>
    <w:rsid w:val="00FB0413"/>
    <w:rsid w:val="00FD01B4"/>
    <w:rsid w:val="00FD16A3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CC68"/>
  <w15:chartTrackingRefBased/>
  <w15:docId w15:val="{63B9C7FE-C3D9-4640-A742-F5705C05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BF1"/>
  </w:style>
  <w:style w:type="paragraph" w:styleId="berschrift1">
    <w:name w:val="heading 1"/>
    <w:basedOn w:val="Standard"/>
    <w:next w:val="Standard"/>
    <w:link w:val="berschrift1Zchn"/>
    <w:uiPriority w:val="9"/>
    <w:qFormat/>
    <w:rsid w:val="00B55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6847"/>
    <w:rPr>
      <w:rFonts w:ascii="Courier New" w:eastAsia="Times New Roman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546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546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546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5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554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01B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01B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07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A2A2A2"/>
                    <w:bottom w:val="none" w:sz="0" w:space="0" w:color="auto"/>
                    <w:right w:val="none" w:sz="0" w:space="0" w:color="auto"/>
                  </w:divBdr>
                  <w:divsChild>
                    <w:div w:id="11490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56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Sauré</dc:creator>
  <cp:keywords/>
  <dc:description/>
  <cp:lastModifiedBy>Bernardi, Silke</cp:lastModifiedBy>
  <cp:revision>53</cp:revision>
  <dcterms:created xsi:type="dcterms:W3CDTF">2018-06-07T07:38:00Z</dcterms:created>
  <dcterms:modified xsi:type="dcterms:W3CDTF">2020-03-03T10:29:00Z</dcterms:modified>
</cp:coreProperties>
</file>